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766D" w14:textId="165D60E6"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ＰＦＯＳとＰＦＯＡについて</w:t>
      </w:r>
    </w:p>
    <w:p w14:paraId="175B1E84" w14:textId="77777777" w:rsidR="00320222" w:rsidRPr="00320222" w:rsidRDefault="00320222" w:rsidP="00320222">
      <w:pPr>
        <w:rPr>
          <w:rFonts w:ascii="BIZ UDPゴシック" w:eastAsia="BIZ UDPゴシック" w:hAnsi="BIZ UDPゴシック"/>
        </w:rPr>
      </w:pPr>
    </w:p>
    <w:p w14:paraId="335005A5"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１．</w:t>
      </w:r>
      <w:r w:rsidRPr="00320222">
        <w:rPr>
          <w:rFonts w:ascii="BIZ UDPゴシック" w:eastAsia="BIZ UDPゴシック" w:hAnsi="BIZ UDPゴシック"/>
        </w:rPr>
        <w:t>PFOS</w:t>
      </w:r>
      <w:r w:rsidRPr="00320222">
        <w:rPr>
          <w:rFonts w:ascii="BIZ UDPゴシック" w:eastAsia="BIZ UDPゴシック" w:hAnsi="BIZ UDPゴシック" w:hint="eastAsia"/>
        </w:rPr>
        <w:t>・</w:t>
      </w:r>
      <w:r w:rsidRPr="00320222">
        <w:rPr>
          <w:rFonts w:ascii="BIZ UDPゴシック" w:eastAsia="BIZ UDPゴシック" w:hAnsi="BIZ UDPゴシック"/>
        </w:rPr>
        <w:t xml:space="preserve">PFOA </w:t>
      </w:r>
      <w:r w:rsidRPr="00320222">
        <w:rPr>
          <w:rFonts w:ascii="BIZ UDPゴシック" w:eastAsia="BIZ UDPゴシック" w:hAnsi="BIZ UDPゴシック" w:hint="eastAsia"/>
        </w:rPr>
        <w:t>とは</w:t>
      </w:r>
    </w:p>
    <w:p w14:paraId="1FF560D0"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rPr>
        <w:t>PFOS</w:t>
      </w:r>
      <w:r w:rsidRPr="00320222">
        <w:rPr>
          <w:rFonts w:ascii="BIZ UDPゴシック" w:eastAsia="BIZ UDPゴシック" w:hAnsi="BIZ UDPゴシック" w:hint="eastAsia"/>
        </w:rPr>
        <w:t>（ペルフルオロオクタンスルホン酸）、</w:t>
      </w:r>
      <w:r w:rsidRPr="00320222">
        <w:rPr>
          <w:rFonts w:ascii="BIZ UDPゴシック" w:eastAsia="BIZ UDPゴシック" w:hAnsi="BIZ UDPゴシック"/>
        </w:rPr>
        <w:t>PFOA</w:t>
      </w:r>
      <w:r w:rsidRPr="00320222">
        <w:rPr>
          <w:rFonts w:ascii="BIZ UDPゴシック" w:eastAsia="BIZ UDPゴシック" w:hAnsi="BIZ UDPゴシック" w:hint="eastAsia"/>
        </w:rPr>
        <w:t>（ペルフルオロオクタン酸）</w:t>
      </w:r>
    </w:p>
    <w:p w14:paraId="238FC52F"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（１）物理化学的性状</w:t>
      </w:r>
    </w:p>
    <w:p w14:paraId="6EBFD8C2" w14:textId="70C4408F" w:rsidR="00320222" w:rsidRPr="00320222" w:rsidRDefault="00320222" w:rsidP="00320222">
      <w:pPr>
        <w:ind w:leftChars="59" w:left="142" w:firstLineChars="59" w:firstLine="142"/>
        <w:rPr>
          <w:rFonts w:ascii="BIZ UDPゴシック" w:eastAsia="BIZ UDPゴシック" w:hAnsi="BIZ UDPゴシック"/>
        </w:rPr>
      </w:pPr>
      <w:r w:rsidRPr="00320222">
        <w:rPr>
          <w:rFonts w:ascii="BIZ UDPゴシック" w:eastAsia="BIZ UDPゴシック" w:hAnsi="BIZ UDPゴシック" w:hint="eastAsia"/>
        </w:rPr>
        <w:t>化学的に極めて安定。水溶性、不揮発性のため、環境中に放出された場合は水系に移行しやすい。難分解性のため長期的に環境に残留すると考えられている。</w:t>
      </w:r>
    </w:p>
    <w:p w14:paraId="50EB776C"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（２）国内の規制</w:t>
      </w:r>
    </w:p>
    <w:p w14:paraId="6D4E5754" w14:textId="72892511" w:rsidR="00320222" w:rsidRDefault="00320222" w:rsidP="00320222">
      <w:pPr>
        <w:ind w:leftChars="59" w:left="142" w:firstLineChars="59" w:firstLine="142"/>
        <w:rPr>
          <w:rFonts w:ascii="BIZ UDPゴシック" w:eastAsia="BIZ UDPゴシック" w:hAnsi="BIZ UDPゴシック"/>
        </w:rPr>
      </w:pPr>
      <w:r w:rsidRPr="00320222">
        <w:rPr>
          <w:rFonts w:ascii="BIZ UDPゴシック" w:eastAsia="BIZ UDPゴシック" w:hAnsi="BIZ UDPゴシック"/>
        </w:rPr>
        <w:t>PFOS</w:t>
      </w:r>
      <w:r w:rsidRPr="00320222">
        <w:rPr>
          <w:rFonts w:ascii="BIZ UDPゴシック" w:eastAsia="BIZ UDPゴシック" w:hAnsi="BIZ UDPゴシック" w:hint="eastAsia"/>
        </w:rPr>
        <w:t>、</w:t>
      </w:r>
      <w:r w:rsidRPr="00320222">
        <w:rPr>
          <w:rFonts w:ascii="BIZ UDPゴシック" w:eastAsia="BIZ UDPゴシック" w:hAnsi="BIZ UDPゴシック"/>
        </w:rPr>
        <w:t xml:space="preserve">PFOA </w:t>
      </w:r>
      <w:r w:rsidRPr="00320222">
        <w:rPr>
          <w:rFonts w:ascii="BIZ UDPゴシック" w:eastAsia="BIZ UDPゴシック" w:hAnsi="BIZ UDPゴシック" w:hint="eastAsia"/>
        </w:rPr>
        <w:t>については、化学物質の審査及び製造等の規制に関する法律（化審法）により、原則として製造や輸入等が禁止されている。</w:t>
      </w:r>
    </w:p>
    <w:p w14:paraId="62C2ABC6" w14:textId="6144B7F3" w:rsidR="00320222" w:rsidRDefault="00320222" w:rsidP="00320222">
      <w:pPr>
        <w:rPr>
          <w:rFonts w:ascii="BIZ UDPゴシック" w:eastAsia="BIZ UDPゴシック" w:hAnsi="BIZ UDPゴシック"/>
        </w:rPr>
      </w:pPr>
    </w:p>
    <w:p w14:paraId="2451CA22" w14:textId="77777777" w:rsidR="00320222" w:rsidRPr="00320222" w:rsidRDefault="00320222" w:rsidP="00320222">
      <w:pPr>
        <w:rPr>
          <w:rFonts w:ascii="BIZ UDPゴシック" w:eastAsia="BIZ UDPゴシック" w:hAnsi="BIZ UDPゴシック"/>
        </w:rPr>
      </w:pPr>
    </w:p>
    <w:p w14:paraId="717930D1"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２．水道水及び水環境に係る目標値等</w:t>
      </w:r>
    </w:p>
    <w:p w14:paraId="5152B324"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（１）水道水</w:t>
      </w:r>
    </w:p>
    <w:p w14:paraId="7C4F8FBB" w14:textId="68497B33" w:rsidR="00320222" w:rsidRPr="00320222" w:rsidRDefault="00320222" w:rsidP="00320222">
      <w:pPr>
        <w:ind w:leftChars="59" w:left="142" w:firstLineChars="59" w:firstLine="142"/>
        <w:rPr>
          <w:rFonts w:ascii="BIZ UDPゴシック" w:eastAsia="BIZ UDPゴシック" w:hAnsi="BIZ UDPゴシック"/>
        </w:rPr>
      </w:pPr>
      <w:r w:rsidRPr="00320222">
        <w:rPr>
          <w:rFonts w:ascii="BIZ UDPゴシック" w:eastAsia="BIZ UDPゴシック" w:hAnsi="BIZ UDPゴシック" w:hint="eastAsia"/>
        </w:rPr>
        <w:t>令和２年４月１日に、水質管理目標設定項目に位置付けられるとともに、</w:t>
      </w:r>
      <w:r w:rsidRPr="00320222">
        <w:rPr>
          <w:rFonts w:ascii="BIZ UDPゴシック" w:eastAsia="BIZ UDPゴシック" w:hAnsi="BIZ UDPゴシック"/>
        </w:rPr>
        <w:t>PFOS</w:t>
      </w:r>
      <w:r w:rsidRPr="00320222">
        <w:rPr>
          <w:rFonts w:ascii="BIZ UDPゴシック" w:eastAsia="BIZ UDPゴシック" w:hAnsi="BIZ UDPゴシック" w:hint="eastAsia"/>
        </w:rPr>
        <w:t>と</w:t>
      </w:r>
      <w:r w:rsidRPr="00320222">
        <w:rPr>
          <w:rFonts w:ascii="BIZ UDPゴシック" w:eastAsia="BIZ UDPゴシック" w:hAnsi="BIZ UDPゴシック"/>
        </w:rPr>
        <w:t xml:space="preserve">PFOA </w:t>
      </w:r>
      <w:r w:rsidRPr="00320222">
        <w:rPr>
          <w:rFonts w:ascii="BIZ UDPゴシック" w:eastAsia="BIZ UDPゴシック" w:hAnsi="BIZ UDPゴシック" w:hint="eastAsia"/>
        </w:rPr>
        <w:t>の合算値で、１リットル当たり</w:t>
      </w:r>
      <w:r w:rsidRPr="00320222">
        <w:rPr>
          <w:rFonts w:ascii="BIZ UDPゴシック" w:eastAsia="BIZ UDPゴシック" w:hAnsi="BIZ UDPゴシック"/>
        </w:rPr>
        <w:t xml:space="preserve">50 </w:t>
      </w:r>
      <w:r w:rsidRPr="00320222">
        <w:rPr>
          <w:rFonts w:ascii="BIZ UDPゴシック" w:eastAsia="BIZ UDPゴシック" w:hAnsi="BIZ UDPゴシック" w:hint="eastAsia"/>
        </w:rPr>
        <w:t>ナノグラム※（</w:t>
      </w:r>
      <w:r w:rsidRPr="00320222">
        <w:rPr>
          <w:rFonts w:ascii="BIZ UDPゴシック" w:eastAsia="BIZ UDPゴシック" w:hAnsi="BIZ UDPゴシック"/>
        </w:rPr>
        <w:t>50ng/L</w:t>
      </w:r>
      <w:r w:rsidRPr="00320222">
        <w:rPr>
          <w:rFonts w:ascii="BIZ UDPゴシック" w:eastAsia="BIZ UDPゴシック" w:hAnsi="BIZ UDPゴシック" w:hint="eastAsia"/>
        </w:rPr>
        <w:t>）とする目標値（暫定）を国が設定。</w:t>
      </w:r>
    </w:p>
    <w:p w14:paraId="1349E0CA"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（２）水環境（公共用水域及び地下水）</w:t>
      </w:r>
    </w:p>
    <w:p w14:paraId="29C6732B" w14:textId="18D08462" w:rsidR="00320222" w:rsidRPr="00320222" w:rsidRDefault="00320222" w:rsidP="00320222">
      <w:pPr>
        <w:ind w:leftChars="59" w:left="142" w:firstLineChars="59" w:firstLine="142"/>
        <w:rPr>
          <w:rFonts w:ascii="BIZ UDPゴシック" w:eastAsia="BIZ UDPゴシック" w:hAnsi="BIZ UDPゴシック"/>
        </w:rPr>
      </w:pPr>
      <w:r w:rsidRPr="00320222">
        <w:rPr>
          <w:rFonts w:ascii="BIZ UDPゴシック" w:eastAsia="BIZ UDPゴシック" w:hAnsi="BIZ UDPゴシック" w:hint="eastAsia"/>
        </w:rPr>
        <w:t>令和２年５月</w:t>
      </w:r>
      <w:r w:rsidRPr="00320222">
        <w:rPr>
          <w:rFonts w:ascii="BIZ UDPゴシック" w:eastAsia="BIZ UDPゴシック" w:hAnsi="BIZ UDPゴシック"/>
        </w:rPr>
        <w:t xml:space="preserve">28 </w:t>
      </w:r>
      <w:r w:rsidRPr="00320222">
        <w:rPr>
          <w:rFonts w:ascii="BIZ UDPゴシック" w:eastAsia="BIZ UDPゴシック" w:hAnsi="BIZ UDPゴシック" w:hint="eastAsia"/>
        </w:rPr>
        <w:t>日に、要監視項目に位置付けられるとともに、</w:t>
      </w:r>
      <w:r w:rsidRPr="00320222">
        <w:rPr>
          <w:rFonts w:ascii="BIZ UDPゴシック" w:eastAsia="BIZ UDPゴシック" w:hAnsi="BIZ UDPゴシック"/>
        </w:rPr>
        <w:t xml:space="preserve">PFOS </w:t>
      </w:r>
      <w:r w:rsidRPr="00320222">
        <w:rPr>
          <w:rFonts w:ascii="BIZ UDPゴシック" w:eastAsia="BIZ UDPゴシック" w:hAnsi="BIZ UDPゴシック" w:hint="eastAsia"/>
        </w:rPr>
        <w:t>と</w:t>
      </w:r>
      <w:r w:rsidRPr="00320222">
        <w:rPr>
          <w:rFonts w:ascii="BIZ UDPゴシック" w:eastAsia="BIZ UDPゴシック" w:hAnsi="BIZ UDPゴシック"/>
        </w:rPr>
        <w:t xml:space="preserve">PFOA </w:t>
      </w:r>
      <w:r w:rsidRPr="00320222">
        <w:rPr>
          <w:rFonts w:ascii="BIZ UDPゴシック" w:eastAsia="BIZ UDPゴシック" w:hAnsi="BIZ UDPゴシック" w:hint="eastAsia"/>
        </w:rPr>
        <w:t>の合算値で、１リットル当たり</w:t>
      </w:r>
      <w:r w:rsidRPr="00320222">
        <w:rPr>
          <w:rFonts w:ascii="BIZ UDPゴシック" w:eastAsia="BIZ UDPゴシック" w:hAnsi="BIZ UDPゴシック"/>
        </w:rPr>
        <w:t xml:space="preserve">50 </w:t>
      </w:r>
      <w:r w:rsidRPr="00320222">
        <w:rPr>
          <w:rFonts w:ascii="BIZ UDPゴシック" w:eastAsia="BIZ UDPゴシック" w:hAnsi="BIZ UDPゴシック" w:hint="eastAsia"/>
        </w:rPr>
        <w:t>ナノグラム※（</w:t>
      </w:r>
      <w:r w:rsidRPr="00320222">
        <w:rPr>
          <w:rFonts w:ascii="BIZ UDPゴシック" w:eastAsia="BIZ UDPゴシック" w:hAnsi="BIZ UDPゴシック"/>
        </w:rPr>
        <w:t>50ng/L</w:t>
      </w:r>
      <w:r w:rsidRPr="00320222">
        <w:rPr>
          <w:rFonts w:ascii="BIZ UDPゴシック" w:eastAsia="BIZ UDPゴシック" w:hAnsi="BIZ UDPゴシック" w:hint="eastAsia"/>
        </w:rPr>
        <w:t>）とする指針値（暫定）を国が設定。</w:t>
      </w:r>
    </w:p>
    <w:p w14:paraId="3D3CFEC1"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※ナノグラム（</w:t>
      </w:r>
      <w:r w:rsidRPr="00320222">
        <w:rPr>
          <w:rFonts w:ascii="BIZ UDPゴシック" w:eastAsia="BIZ UDPゴシック" w:hAnsi="BIZ UDPゴシック"/>
        </w:rPr>
        <w:t>ng</w:t>
      </w:r>
      <w:r w:rsidRPr="00320222">
        <w:rPr>
          <w:rFonts w:ascii="BIZ UDPゴシック" w:eastAsia="BIZ UDPゴシック" w:hAnsi="BIZ UDPゴシック" w:hint="eastAsia"/>
        </w:rPr>
        <w:t>）は１０億分の１グラムを示す単位</w:t>
      </w:r>
    </w:p>
    <w:p w14:paraId="68060C8D" w14:textId="77777777" w:rsidR="00320222" w:rsidRPr="00320222" w:rsidRDefault="00320222" w:rsidP="00320222">
      <w:pPr>
        <w:rPr>
          <w:rFonts w:ascii="BIZ UDPゴシック" w:eastAsia="BIZ UDPゴシック" w:hAnsi="BIZ UDPゴシック"/>
        </w:rPr>
      </w:pPr>
      <w:r w:rsidRPr="00320222">
        <w:rPr>
          <w:rFonts w:ascii="BIZ UDPゴシック" w:eastAsia="BIZ UDPゴシック" w:hAnsi="BIZ UDPゴシック" w:hint="eastAsia"/>
        </w:rPr>
        <w:t>（３）目標値の考え方</w:t>
      </w:r>
    </w:p>
    <w:p w14:paraId="39C58806" w14:textId="60D7C754" w:rsidR="0058719E" w:rsidRPr="00320222" w:rsidRDefault="00320222" w:rsidP="00320222">
      <w:pPr>
        <w:ind w:leftChars="59" w:left="142" w:firstLineChars="59" w:firstLine="142"/>
        <w:rPr>
          <w:rFonts w:ascii="BIZ UDPゴシック" w:eastAsia="BIZ UDPゴシック" w:hAnsi="BIZ UDPゴシック"/>
        </w:rPr>
      </w:pPr>
      <w:r w:rsidRPr="00320222">
        <w:rPr>
          <w:rFonts w:ascii="BIZ UDPゴシック" w:eastAsia="BIZ UDPゴシック" w:hAnsi="BIZ UDPゴシック" w:hint="eastAsia"/>
        </w:rPr>
        <w:t>水質の目標値（暫定）は、設定当時の科学的知見に基づき、体重</w:t>
      </w:r>
      <w:r w:rsidRPr="00320222">
        <w:rPr>
          <w:rFonts w:ascii="BIZ UDPゴシック" w:eastAsia="BIZ UDPゴシック" w:hAnsi="BIZ UDPゴシック"/>
        </w:rPr>
        <w:t xml:space="preserve">50 kg </w:t>
      </w:r>
      <w:r w:rsidRPr="00320222">
        <w:rPr>
          <w:rFonts w:ascii="BIZ UDPゴシック" w:eastAsia="BIZ UDPゴシック" w:hAnsi="BIZ UDPゴシック" w:hint="eastAsia"/>
        </w:rPr>
        <w:t>の人が水を一生涯にわたって毎日２リットル飲用したとしても、この濃度以下であれば人の健康に悪影響が生じないと考えられる水準を基に設定されたもの。</w:t>
      </w:r>
    </w:p>
    <w:p w14:paraId="6A0012BD" w14:textId="77777777" w:rsidR="002C20FA" w:rsidRPr="00320222" w:rsidRDefault="002C20FA">
      <w:pPr>
        <w:rPr>
          <w:rFonts w:ascii="BIZ UDPゴシック" w:eastAsia="BIZ UDPゴシック" w:hAnsi="BIZ UDPゴシック"/>
          <w:sz w:val="21"/>
          <w:szCs w:val="21"/>
        </w:rPr>
      </w:pPr>
    </w:p>
    <w:p w14:paraId="1FDBBE38" w14:textId="77777777" w:rsidR="0058719E" w:rsidRDefault="0058719E">
      <w:pPr>
        <w:rPr>
          <w:rFonts w:ascii="ＭＳ ゴシック" w:eastAsia="ＭＳ ゴシック" w:hAnsi="ＭＳ ゴシック"/>
        </w:rPr>
      </w:pPr>
    </w:p>
    <w:p w14:paraId="4C1D30DA" w14:textId="77777777" w:rsidR="0058719E" w:rsidRDefault="0058719E">
      <w:pPr>
        <w:rPr>
          <w:rFonts w:ascii="ＭＳ ゴシック" w:eastAsia="ＭＳ ゴシック" w:hAnsi="ＭＳ ゴシック"/>
        </w:rPr>
      </w:pPr>
    </w:p>
    <w:p w14:paraId="16E7F21D" w14:textId="77777777" w:rsidR="0058719E" w:rsidRDefault="0058719E">
      <w:pPr>
        <w:rPr>
          <w:rFonts w:ascii="ＭＳ ゴシック" w:eastAsia="ＭＳ ゴシック" w:hAnsi="ＭＳ ゴシック"/>
        </w:rPr>
      </w:pPr>
    </w:p>
    <w:p w14:paraId="5B4010FC" w14:textId="77777777" w:rsidR="0058719E" w:rsidRDefault="0058719E">
      <w:pPr>
        <w:rPr>
          <w:rFonts w:ascii="ＭＳ ゴシック" w:eastAsia="ＭＳ ゴシック" w:hAnsi="ＭＳ ゴシック"/>
        </w:rPr>
      </w:pPr>
    </w:p>
    <w:p w14:paraId="43D87434" w14:textId="77777777" w:rsidR="0058719E" w:rsidRDefault="0058719E">
      <w:pPr>
        <w:rPr>
          <w:rFonts w:ascii="ＭＳ ゴシック" w:eastAsia="ＭＳ ゴシック" w:hAnsi="ＭＳ ゴシック"/>
        </w:rPr>
      </w:pPr>
    </w:p>
    <w:p w14:paraId="61EED4DE" w14:textId="77777777" w:rsidR="0058719E" w:rsidRDefault="0058719E">
      <w:pPr>
        <w:rPr>
          <w:rFonts w:ascii="ＭＳ ゴシック" w:eastAsia="ＭＳ ゴシック" w:hAnsi="ＭＳ ゴシック"/>
        </w:rPr>
      </w:pPr>
    </w:p>
    <w:p w14:paraId="22692AA8" w14:textId="77777777" w:rsidR="0058719E" w:rsidRDefault="0058719E">
      <w:pPr>
        <w:rPr>
          <w:rFonts w:ascii="ＭＳ ゴシック" w:eastAsia="ＭＳ ゴシック" w:hAnsi="ＭＳ ゴシック"/>
        </w:rPr>
      </w:pPr>
    </w:p>
    <w:p w14:paraId="379638FC" w14:textId="77777777" w:rsidR="0058719E" w:rsidRDefault="0058719E">
      <w:pPr>
        <w:rPr>
          <w:rFonts w:ascii="ＭＳ ゴシック" w:eastAsia="ＭＳ ゴシック" w:hAnsi="ＭＳ ゴシック"/>
        </w:rPr>
      </w:pPr>
    </w:p>
    <w:p w14:paraId="1915001A" w14:textId="77777777" w:rsidR="0058719E" w:rsidRDefault="0058719E">
      <w:pPr>
        <w:rPr>
          <w:rFonts w:ascii="ＭＳ ゴシック" w:eastAsia="ＭＳ ゴシック" w:hAnsi="ＭＳ ゴシック"/>
        </w:rPr>
      </w:pPr>
    </w:p>
    <w:sectPr w:rsidR="0058719E" w:rsidSect="00B4323D">
      <w:headerReference w:type="default" r:id="rId7"/>
      <w:pgSz w:w="11906" w:h="16838" w:code="9"/>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356D" w14:textId="77777777" w:rsidR="00034CA4" w:rsidRDefault="00034CA4">
      <w:r>
        <w:separator/>
      </w:r>
    </w:p>
  </w:endnote>
  <w:endnote w:type="continuationSeparator" w:id="0">
    <w:p w14:paraId="37304750" w14:textId="77777777" w:rsidR="00034CA4" w:rsidRDefault="0003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B624" w14:textId="77777777" w:rsidR="00034CA4" w:rsidRDefault="00034CA4">
      <w:r>
        <w:separator/>
      </w:r>
    </w:p>
  </w:footnote>
  <w:footnote w:type="continuationSeparator" w:id="0">
    <w:p w14:paraId="6F852B87" w14:textId="77777777" w:rsidR="00034CA4" w:rsidRDefault="0003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2056" w14:textId="64BB2D11" w:rsidR="00286E54" w:rsidRDefault="00286E54" w:rsidP="0058719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7FD7EA"/>
    <w:multiLevelType w:val="hybridMultilevel"/>
    <w:tmpl w:val="68BBC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D388C"/>
    <w:multiLevelType w:val="hybridMultilevel"/>
    <w:tmpl w:val="9EFC93E2"/>
    <w:lvl w:ilvl="0" w:tplc="9904C8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62477"/>
    <w:multiLevelType w:val="hybridMultilevel"/>
    <w:tmpl w:val="0CEE6926"/>
    <w:lvl w:ilvl="0" w:tplc="C83EA33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4C43CA"/>
    <w:multiLevelType w:val="hybridMultilevel"/>
    <w:tmpl w:val="D86E6C66"/>
    <w:lvl w:ilvl="0" w:tplc="8AECEE34">
      <w:numFmt w:val="bullet"/>
      <w:lvlText w:val="○"/>
      <w:lvlJc w:val="left"/>
      <w:pPr>
        <w:tabs>
          <w:tab w:val="num" w:pos="372"/>
        </w:tabs>
        <w:ind w:left="372" w:hanging="360"/>
      </w:pPr>
      <w:rPr>
        <w:rFonts w:ascii="ＭＳ ゴシック" w:eastAsia="ＭＳ ゴシック" w:hAnsi="ＭＳ ゴシック" w:cs="ＭＳ"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A9"/>
    <w:rsid w:val="00015222"/>
    <w:rsid w:val="00021D20"/>
    <w:rsid w:val="000338E2"/>
    <w:rsid w:val="00034CA4"/>
    <w:rsid w:val="000742C0"/>
    <w:rsid w:val="00075DA8"/>
    <w:rsid w:val="000A53DE"/>
    <w:rsid w:val="000D7997"/>
    <w:rsid w:val="000F0ACA"/>
    <w:rsid w:val="00113EDD"/>
    <w:rsid w:val="0012398B"/>
    <w:rsid w:val="001435AC"/>
    <w:rsid w:val="001739D2"/>
    <w:rsid w:val="0018745F"/>
    <w:rsid w:val="00194954"/>
    <w:rsid w:val="001A223F"/>
    <w:rsid w:val="001A6D4C"/>
    <w:rsid w:val="001C1772"/>
    <w:rsid w:val="001D59D7"/>
    <w:rsid w:val="001E5569"/>
    <w:rsid w:val="001F4FA6"/>
    <w:rsid w:val="00204737"/>
    <w:rsid w:val="00205860"/>
    <w:rsid w:val="002649BA"/>
    <w:rsid w:val="00264F4A"/>
    <w:rsid w:val="002663D8"/>
    <w:rsid w:val="00271DF5"/>
    <w:rsid w:val="00272DB3"/>
    <w:rsid w:val="00283145"/>
    <w:rsid w:val="00286E54"/>
    <w:rsid w:val="002B1023"/>
    <w:rsid w:val="002B27B4"/>
    <w:rsid w:val="002C20FA"/>
    <w:rsid w:val="002D373B"/>
    <w:rsid w:val="002E1207"/>
    <w:rsid w:val="00304192"/>
    <w:rsid w:val="003150F3"/>
    <w:rsid w:val="00320222"/>
    <w:rsid w:val="00325638"/>
    <w:rsid w:val="00395BBA"/>
    <w:rsid w:val="00396586"/>
    <w:rsid w:val="003B016E"/>
    <w:rsid w:val="003F1021"/>
    <w:rsid w:val="003F66DA"/>
    <w:rsid w:val="00412277"/>
    <w:rsid w:val="0043384A"/>
    <w:rsid w:val="00437C17"/>
    <w:rsid w:val="004527E7"/>
    <w:rsid w:val="004D3A56"/>
    <w:rsid w:val="005401A7"/>
    <w:rsid w:val="0058277E"/>
    <w:rsid w:val="0058719E"/>
    <w:rsid w:val="005A7AF1"/>
    <w:rsid w:val="005A7DE5"/>
    <w:rsid w:val="005D334E"/>
    <w:rsid w:val="005F6E2B"/>
    <w:rsid w:val="00610F01"/>
    <w:rsid w:val="00651689"/>
    <w:rsid w:val="006F4634"/>
    <w:rsid w:val="00716044"/>
    <w:rsid w:val="00785F6F"/>
    <w:rsid w:val="007875C6"/>
    <w:rsid w:val="00791AF1"/>
    <w:rsid w:val="007B4F95"/>
    <w:rsid w:val="007B53FD"/>
    <w:rsid w:val="007E530D"/>
    <w:rsid w:val="007F14A3"/>
    <w:rsid w:val="00835020"/>
    <w:rsid w:val="00841EE8"/>
    <w:rsid w:val="008A41D6"/>
    <w:rsid w:val="008F60B0"/>
    <w:rsid w:val="009063A2"/>
    <w:rsid w:val="0091490E"/>
    <w:rsid w:val="0091685F"/>
    <w:rsid w:val="00943F69"/>
    <w:rsid w:val="009622C7"/>
    <w:rsid w:val="00965A3D"/>
    <w:rsid w:val="00980CE1"/>
    <w:rsid w:val="009A2654"/>
    <w:rsid w:val="009D4D90"/>
    <w:rsid w:val="00A025CF"/>
    <w:rsid w:val="00A0266E"/>
    <w:rsid w:val="00A179CB"/>
    <w:rsid w:val="00A52398"/>
    <w:rsid w:val="00A56A68"/>
    <w:rsid w:val="00A649B2"/>
    <w:rsid w:val="00A9456B"/>
    <w:rsid w:val="00AD068E"/>
    <w:rsid w:val="00AF2602"/>
    <w:rsid w:val="00B0388F"/>
    <w:rsid w:val="00B363D8"/>
    <w:rsid w:val="00B4323D"/>
    <w:rsid w:val="00B47A61"/>
    <w:rsid w:val="00BB262B"/>
    <w:rsid w:val="00BC56B4"/>
    <w:rsid w:val="00BC59FE"/>
    <w:rsid w:val="00BD3F4D"/>
    <w:rsid w:val="00BD5E72"/>
    <w:rsid w:val="00BF6712"/>
    <w:rsid w:val="00C015AA"/>
    <w:rsid w:val="00C029A9"/>
    <w:rsid w:val="00C17672"/>
    <w:rsid w:val="00C235ED"/>
    <w:rsid w:val="00C374CC"/>
    <w:rsid w:val="00C667D0"/>
    <w:rsid w:val="00CB5973"/>
    <w:rsid w:val="00CC08B3"/>
    <w:rsid w:val="00CD2D68"/>
    <w:rsid w:val="00CE11CD"/>
    <w:rsid w:val="00CE1386"/>
    <w:rsid w:val="00CE64EC"/>
    <w:rsid w:val="00D02DC0"/>
    <w:rsid w:val="00D035FC"/>
    <w:rsid w:val="00D130C7"/>
    <w:rsid w:val="00D16185"/>
    <w:rsid w:val="00D23622"/>
    <w:rsid w:val="00D40177"/>
    <w:rsid w:val="00D771A9"/>
    <w:rsid w:val="00D81C86"/>
    <w:rsid w:val="00D90049"/>
    <w:rsid w:val="00DF38CE"/>
    <w:rsid w:val="00DF5D5E"/>
    <w:rsid w:val="00E03847"/>
    <w:rsid w:val="00E1533C"/>
    <w:rsid w:val="00E3313F"/>
    <w:rsid w:val="00E3418A"/>
    <w:rsid w:val="00E57929"/>
    <w:rsid w:val="00E66839"/>
    <w:rsid w:val="00E676A6"/>
    <w:rsid w:val="00E75D02"/>
    <w:rsid w:val="00E75EA7"/>
    <w:rsid w:val="00E80CCD"/>
    <w:rsid w:val="00EA560A"/>
    <w:rsid w:val="00EE3436"/>
    <w:rsid w:val="00EE60F1"/>
    <w:rsid w:val="00F126B0"/>
    <w:rsid w:val="00F27CDA"/>
    <w:rsid w:val="00F5555D"/>
    <w:rsid w:val="00F63C4C"/>
    <w:rsid w:val="00F65F9D"/>
    <w:rsid w:val="00F6687C"/>
    <w:rsid w:val="00F84800"/>
    <w:rsid w:val="00FA22EF"/>
    <w:rsid w:val="00FB2EB3"/>
    <w:rsid w:val="00FB4301"/>
    <w:rsid w:val="00FD0788"/>
    <w:rsid w:val="00FE40E8"/>
    <w:rsid w:val="00FF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5B2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5020"/>
    <w:pPr>
      <w:widowControl w:val="0"/>
      <w:autoSpaceDE w:val="0"/>
      <w:autoSpaceDN w:val="0"/>
      <w:adjustRightInd w:val="0"/>
    </w:pPr>
    <w:rPr>
      <w:rFonts w:ascii="ＭＳ" w:eastAsia="ＭＳ" w:cs="ＭＳ"/>
      <w:color w:val="000000"/>
      <w:sz w:val="24"/>
      <w:szCs w:val="24"/>
    </w:rPr>
  </w:style>
  <w:style w:type="paragraph" w:styleId="a4">
    <w:name w:val="Balloon Text"/>
    <w:basedOn w:val="a"/>
    <w:semiHidden/>
    <w:rsid w:val="003F66DA"/>
    <w:rPr>
      <w:rFonts w:ascii="Arial" w:eastAsia="ＭＳ ゴシック" w:hAnsi="Arial"/>
      <w:sz w:val="18"/>
      <w:szCs w:val="18"/>
    </w:rPr>
  </w:style>
  <w:style w:type="paragraph" w:styleId="a5">
    <w:name w:val="header"/>
    <w:basedOn w:val="a"/>
    <w:rsid w:val="009D4D90"/>
    <w:pPr>
      <w:tabs>
        <w:tab w:val="center" w:pos="4252"/>
        <w:tab w:val="right" w:pos="8504"/>
      </w:tabs>
      <w:snapToGrid w:val="0"/>
    </w:pPr>
  </w:style>
  <w:style w:type="paragraph" w:styleId="a6">
    <w:name w:val="footer"/>
    <w:basedOn w:val="a"/>
    <w:rsid w:val="009D4D90"/>
    <w:pPr>
      <w:tabs>
        <w:tab w:val="center" w:pos="4252"/>
        <w:tab w:val="right" w:pos="8504"/>
      </w:tabs>
      <w:snapToGrid w:val="0"/>
    </w:pPr>
  </w:style>
  <w:style w:type="character" w:styleId="a7">
    <w:name w:val="Hyperlink"/>
    <w:basedOn w:val="a0"/>
    <w:rsid w:val="00FB2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2217">
      <w:bodyDiv w:val="1"/>
      <w:marLeft w:val="0"/>
      <w:marRight w:val="0"/>
      <w:marTop w:val="0"/>
      <w:marBottom w:val="0"/>
      <w:divBdr>
        <w:top w:val="none" w:sz="0" w:space="0" w:color="auto"/>
        <w:left w:val="none" w:sz="0" w:space="0" w:color="auto"/>
        <w:bottom w:val="none" w:sz="0" w:space="0" w:color="auto"/>
        <w:right w:val="none" w:sz="0" w:space="0" w:color="auto"/>
      </w:divBdr>
    </w:div>
    <w:div w:id="16006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84</Characters>
  <Application>Microsoft Office Word</Application>
  <DocSecurity>0</DocSecurity>
  <Lines>1</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2024-12-26T03:44:00Z</dcterms:created>
  <dcterms:modified xsi:type="dcterms:W3CDTF">2024-12-26T03:44:00Z</dcterms:modified>
</cp:coreProperties>
</file>