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627"/>
      </w:tblGrid>
      <w:tr w:rsidR="00DC0868" w:rsidRPr="00FB5DD3" w14:paraId="0ACDE755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27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27" w:type="dxa"/>
            <w:vAlign w:val="center"/>
          </w:tcPr>
          <w:p w14:paraId="1089D69D" w14:textId="1BCFF22A" w:rsidR="007F0A56" w:rsidRPr="000B6CF6" w:rsidRDefault="004B7E32" w:rsidP="007F0A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="00BF695B" w:rsidRPr="003671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）1</w:t>
            </w:r>
            <w:r w:rsidR="000B6CF6">
              <w:rPr>
                <w:rFonts w:hAnsi="HG丸ｺﾞｼｯｸM-PRO"/>
                <w:sz w:val="24"/>
                <w:szCs w:val="24"/>
              </w:rPr>
              <w:t>6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時00分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1</w:t>
            </w:r>
            <w:r w:rsidR="000B6CF6">
              <w:rPr>
                <w:rFonts w:hAnsi="HG丸ｺﾞｼｯｸM-PRO"/>
                <w:sz w:val="24"/>
                <w:szCs w:val="24"/>
              </w:rPr>
              <w:t>7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時15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27" w:type="dxa"/>
            <w:vAlign w:val="center"/>
          </w:tcPr>
          <w:p w14:paraId="2DB5AD1E" w14:textId="25954B7D" w:rsidR="00DC0868" w:rsidRPr="00B625EB" w:rsidRDefault="000B6CF6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オンライン</w:t>
            </w:r>
          </w:p>
        </w:tc>
      </w:tr>
      <w:tr w:rsidR="00C4422F" w:rsidRPr="00CB6E81" w14:paraId="3F420B8D" w14:textId="77777777" w:rsidTr="00275DB3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27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64F49BA9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87BEBEC" w14:textId="77777777" w:rsidR="00275DB3" w:rsidRDefault="004B7E3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大阪府政策企画部副理事</w:t>
            </w:r>
          </w:p>
          <w:p w14:paraId="71760267" w14:textId="77777777" w:rsidR="00275DB3" w:rsidRDefault="00275DB3" w:rsidP="00275DB3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政策企画部</w:t>
            </w:r>
            <w:r>
              <w:rPr>
                <w:rFonts w:hAnsi="HG丸ｺﾞｼｯｸM-PRO" w:hint="eastAsia"/>
                <w:sz w:val="24"/>
                <w:szCs w:val="24"/>
              </w:rPr>
              <w:t>成長戦略局</w:t>
            </w:r>
            <w:r>
              <w:rPr>
                <w:rFonts w:hAnsi="HG丸ｺﾞｼｯｸM-PRO"/>
                <w:sz w:val="24"/>
                <w:szCs w:val="24"/>
              </w:rPr>
              <w:t>成長戦略推進監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4B7E32" w:rsidRPr="005868E5">
              <w:rPr>
                <w:rFonts w:hAnsi="HG丸ｺﾞｼｯｸM-PRO" w:hint="eastAsia"/>
                <w:sz w:val="24"/>
                <w:szCs w:val="24"/>
              </w:rPr>
              <w:t>成長戦略担当課長</w:t>
            </w:r>
          </w:p>
          <w:p w14:paraId="36344FF7" w14:textId="2D3134CE" w:rsidR="004B7E32" w:rsidRPr="006F7F96" w:rsidRDefault="004B7E32" w:rsidP="00275D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政策企画室</w:t>
            </w:r>
            <w:r w:rsidR="00275DB3">
              <w:rPr>
                <w:rFonts w:hAnsi="HG丸ｺﾞｼｯｸM-PRO" w:hint="eastAsia"/>
                <w:sz w:val="24"/>
                <w:szCs w:val="24"/>
              </w:rPr>
              <w:t>政策調査担当部長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政策調査担当課長、</w:t>
            </w:r>
            <w:r w:rsidR="000B6CF6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14:paraId="60733841" w14:textId="09E8603C" w:rsidR="007F0A56" w:rsidRPr="003046D2" w:rsidRDefault="004B7E32" w:rsidP="004B7E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、課長代理、担当係長、係員</w:t>
            </w:r>
          </w:p>
        </w:tc>
      </w:tr>
      <w:tr w:rsidR="00C4422F" w:rsidRPr="003048B5" w14:paraId="36EF04E7" w14:textId="77777777" w:rsidTr="00275DB3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27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2529AD" w14:paraId="0E7B2480" w14:textId="77777777" w:rsidTr="00275DB3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27" w:type="dxa"/>
            <w:vAlign w:val="center"/>
          </w:tcPr>
          <w:p w14:paraId="76484CF4" w14:textId="632D6E2C" w:rsidR="00D440C3" w:rsidRPr="00C70AE5" w:rsidRDefault="000B6CF6" w:rsidP="00602978">
            <w:pPr>
              <w:ind w:left="249" w:hangingChars="100" w:hanging="249"/>
              <w:rPr>
                <w:rFonts w:hAnsi="Meiryo UI"/>
                <w:color w:val="000000" w:themeColor="text1"/>
                <w:sz w:val="24"/>
                <w:szCs w:val="24"/>
              </w:rPr>
            </w:pP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・新たな成長戦略の策定にあたって、副首都ビジョンで示されている柱を基本とし、</w:t>
            </w:r>
            <w:r w:rsidR="00460CFE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「Beyond </w:t>
            </w:r>
            <w:r w:rsidR="00460CFE" w:rsidRPr="00C70AE5">
              <w:rPr>
                <w:rFonts w:hAnsi="HG丸ｺﾞｼｯｸM-PRO"/>
                <w:color w:val="000000" w:themeColor="text1"/>
                <w:sz w:val="24"/>
                <w:szCs w:val="24"/>
              </w:rPr>
              <w:t>EXPO 2025</w:t>
            </w:r>
            <w:r w:rsidR="00460CFE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」においては、</w:t>
            </w: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</w:t>
            </w:r>
            <w:r w:rsidR="00460CFE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</w:t>
            </w: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要素を追加する</w:t>
            </w:r>
            <w:r w:rsidRPr="00C70AE5">
              <w:rPr>
                <w:rFonts w:hAnsi="Meiryo UI" w:hint="eastAsia"/>
                <w:color w:val="000000" w:themeColor="text1"/>
                <w:sz w:val="24"/>
                <w:szCs w:val="24"/>
              </w:rPr>
              <w:t>観点が必要ではないか。</w:t>
            </w:r>
          </w:p>
          <w:p w14:paraId="1BE3D550" w14:textId="60E87383" w:rsidR="003046D2" w:rsidRPr="00602978" w:rsidRDefault="00D440C3" w:rsidP="00460CFE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02978" w:rsidRPr="00C70AE5">
              <w:rPr>
                <w:rFonts w:hAnsi="Meiryo UI" w:hint="eastAsia"/>
                <w:color w:val="000000" w:themeColor="text1"/>
                <w:sz w:val="24"/>
                <w:szCs w:val="24"/>
              </w:rPr>
              <w:t>また、</w:t>
            </w:r>
            <w:r w:rsidR="00602978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大阪の経済動向につい</w:t>
            </w:r>
            <w:r w:rsidR="002529AD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</w:t>
            </w:r>
            <w:r w:rsidR="00602978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過去の</w:t>
            </w:r>
            <w:r w:rsidR="002529AD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インフラ投資や</w:t>
            </w:r>
            <w:r w:rsidR="00602978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コロナ禍からの回復状況</w:t>
            </w:r>
            <w:r w:rsidR="002529AD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460CFE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も踏まえた分析とすることが</w:t>
            </w:r>
            <w:r w:rsidR="00602978" w:rsidRPr="00C70A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必要ではないか。</w:t>
            </w:r>
          </w:p>
        </w:tc>
      </w:tr>
      <w:tr w:rsidR="00C4422F" w:rsidRPr="003048B5" w14:paraId="7371A698" w14:textId="77777777" w:rsidTr="00275DB3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27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275DB3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27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275DB3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27" w:type="dxa"/>
          </w:tcPr>
          <w:p w14:paraId="43065710" w14:textId="1435EC38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275DB3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27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DECF" w14:textId="77777777" w:rsidR="00205D64" w:rsidRDefault="00205D64" w:rsidP="00394441">
      <w:r>
        <w:separator/>
      </w:r>
    </w:p>
  </w:endnote>
  <w:endnote w:type="continuationSeparator" w:id="0">
    <w:p w14:paraId="39F38B7D" w14:textId="77777777" w:rsidR="00205D64" w:rsidRDefault="00205D6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2E6F" w14:textId="77777777" w:rsidR="00205D64" w:rsidRDefault="00205D64" w:rsidP="00394441">
      <w:r>
        <w:separator/>
      </w:r>
    </w:p>
  </w:footnote>
  <w:footnote w:type="continuationSeparator" w:id="0">
    <w:p w14:paraId="340E78C3" w14:textId="77777777" w:rsidR="00205D64" w:rsidRDefault="00205D6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B6CF6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5D64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9AD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5DB3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16D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67181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CFE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1316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978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9D0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644"/>
    <w:rsid w:val="007F6500"/>
    <w:rsid w:val="007F6650"/>
    <w:rsid w:val="007F68F2"/>
    <w:rsid w:val="007F6A98"/>
    <w:rsid w:val="0080068E"/>
    <w:rsid w:val="00802A0C"/>
    <w:rsid w:val="00803C4C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B78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4313"/>
    <w:rsid w:val="00BF4A9F"/>
    <w:rsid w:val="00BF5860"/>
    <w:rsid w:val="00BF695B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0AE5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0C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5C5A-C441-4EED-B500-889D1C4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2025-02-13T23:29:00Z</dcterms:created>
  <dcterms:modified xsi:type="dcterms:W3CDTF">2025-02-14T06:20:00Z</dcterms:modified>
</cp:coreProperties>
</file>