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A0" w:rsidRDefault="00B51CCE">
      <w:pPr>
        <w:jc w:val="center"/>
        <w:rPr>
          <w:sz w:val="32"/>
        </w:rPr>
      </w:pPr>
      <w:r>
        <w:rPr>
          <w:rFonts w:ascii="ＭＳ Ｐゴシック" w:eastAsia="ＭＳ Ｐゴシック" w:hAnsi="ＭＳ Ｐゴシック" w:hint="eastAsia"/>
          <w:sz w:val="40"/>
        </w:rPr>
        <w:t>平成30年度</w:t>
      </w:r>
      <w:r>
        <w:rPr>
          <w:rFonts w:ascii="ＭＳ Ｐゴシック" w:eastAsia="ＭＳ Ｐゴシック" w:hAnsi="ＭＳ Ｐゴシック" w:hint="eastAsia"/>
          <w:sz w:val="48"/>
        </w:rPr>
        <w:t>日本語指導実践事例④</w:t>
      </w:r>
    </w:p>
    <w:tbl>
      <w:tblPr>
        <w:tblStyle w:val="a6"/>
        <w:tblW w:w="10598" w:type="dxa"/>
        <w:tblLayout w:type="fixed"/>
        <w:tblLook w:val="04A0" w:firstRow="1" w:lastRow="0" w:firstColumn="1" w:lastColumn="0" w:noHBand="0" w:noVBand="1"/>
      </w:tblPr>
      <w:tblGrid>
        <w:gridCol w:w="979"/>
        <w:gridCol w:w="3272"/>
        <w:gridCol w:w="1048"/>
        <w:gridCol w:w="3031"/>
        <w:gridCol w:w="992"/>
        <w:gridCol w:w="1276"/>
      </w:tblGrid>
      <w:tr w:rsidR="00E725A0">
        <w:tc>
          <w:tcPr>
            <w:tcW w:w="979" w:type="dxa"/>
            <w:shd w:val="clear" w:color="auto" w:fill="B8CCE4" w:themeFill="accent1" w:themeFillTint="66"/>
            <w:vAlign w:val="center"/>
          </w:tcPr>
          <w:p w:rsidR="00E725A0" w:rsidRDefault="00E81555">
            <w:pPr>
              <w:jc w:val="center"/>
            </w:pPr>
            <w:r>
              <w:rPr>
                <w:rFonts w:hint="eastAsia"/>
              </w:rPr>
              <w:t>対象</w:t>
            </w:r>
          </w:p>
        </w:tc>
        <w:tc>
          <w:tcPr>
            <w:tcW w:w="3272" w:type="dxa"/>
          </w:tcPr>
          <w:p w:rsidR="00E725A0" w:rsidRDefault="00764D25">
            <w:r>
              <w:rPr>
                <w:rFonts w:hint="eastAsia"/>
              </w:rPr>
              <w:t>小学校２年生</w:t>
            </w:r>
          </w:p>
        </w:tc>
        <w:tc>
          <w:tcPr>
            <w:tcW w:w="1048" w:type="dxa"/>
            <w:shd w:val="clear" w:color="auto" w:fill="B8CCE4" w:themeFill="accent1" w:themeFillTint="66"/>
            <w:vAlign w:val="center"/>
          </w:tcPr>
          <w:p w:rsidR="00E725A0" w:rsidRDefault="00E81555">
            <w:pPr>
              <w:jc w:val="center"/>
            </w:pPr>
            <w:r>
              <w:rPr>
                <w:rFonts w:hint="eastAsia"/>
              </w:rPr>
              <w:t>母語</w:t>
            </w:r>
          </w:p>
        </w:tc>
        <w:tc>
          <w:tcPr>
            <w:tcW w:w="3031" w:type="dxa"/>
          </w:tcPr>
          <w:p w:rsidR="00E725A0" w:rsidRDefault="00E81555">
            <w:r>
              <w:rPr>
                <w:rFonts w:hint="eastAsia"/>
              </w:rPr>
              <w:t>アラビア語</w:t>
            </w:r>
          </w:p>
        </w:tc>
        <w:tc>
          <w:tcPr>
            <w:tcW w:w="2268" w:type="dxa"/>
            <w:gridSpan w:val="2"/>
            <w:shd w:val="clear" w:color="auto" w:fill="B8CCE4" w:themeFill="accent1" w:themeFillTint="66"/>
            <w:vAlign w:val="center"/>
          </w:tcPr>
          <w:p w:rsidR="00E725A0" w:rsidRDefault="00E81555">
            <w:pPr>
              <w:jc w:val="center"/>
            </w:pPr>
            <w:r>
              <w:rPr>
                <w:rFonts w:hint="eastAsia"/>
              </w:rPr>
              <w:t>DLA</w:t>
            </w:r>
            <w:r>
              <w:rPr>
                <w:rFonts w:hint="eastAsia"/>
              </w:rPr>
              <w:t>ステージ</w:t>
            </w:r>
          </w:p>
        </w:tc>
      </w:tr>
      <w:tr w:rsidR="00E725A0">
        <w:trPr>
          <w:trHeight w:val="318"/>
        </w:trPr>
        <w:tc>
          <w:tcPr>
            <w:tcW w:w="979" w:type="dxa"/>
            <w:vMerge w:val="restart"/>
            <w:shd w:val="clear" w:color="auto" w:fill="B8CCE4" w:themeFill="accent1" w:themeFillTint="66"/>
            <w:vAlign w:val="center"/>
          </w:tcPr>
          <w:p w:rsidR="00E725A0" w:rsidRDefault="00E81555">
            <w:pPr>
              <w:jc w:val="center"/>
            </w:pPr>
            <w:r>
              <w:rPr>
                <w:rFonts w:hint="eastAsia"/>
              </w:rPr>
              <w:t>日本語</w:t>
            </w:r>
          </w:p>
          <w:p w:rsidR="00E725A0" w:rsidRDefault="00E81555">
            <w:pPr>
              <w:jc w:val="center"/>
            </w:pPr>
            <w:r>
              <w:rPr>
                <w:rFonts w:hint="eastAsia"/>
              </w:rPr>
              <w:t>の状況</w:t>
            </w:r>
          </w:p>
        </w:tc>
        <w:tc>
          <w:tcPr>
            <w:tcW w:w="7351" w:type="dxa"/>
            <w:gridSpan w:val="3"/>
            <w:vMerge w:val="restart"/>
          </w:tcPr>
          <w:p w:rsidR="00E725A0" w:rsidRDefault="00E81555">
            <w:r>
              <w:rPr>
                <w:rFonts w:hint="eastAsia"/>
              </w:rPr>
              <w:t>ひらがな・カタカナの五十音は昨年度学習しているが、カタカナは定着していない。日常でよく使っている語彙をつないで話したり、書いたりすることができる。音読は、ゆっくりであるが、正確である。ただし、内容を理解することは難しい。自分から書きたいことを見つけて、文章にすることが難しい。</w:t>
            </w:r>
          </w:p>
        </w:tc>
        <w:tc>
          <w:tcPr>
            <w:tcW w:w="992" w:type="dxa"/>
            <w:shd w:val="clear" w:color="auto" w:fill="B8CCE4" w:themeFill="accent1" w:themeFillTint="66"/>
            <w:vAlign w:val="center"/>
          </w:tcPr>
          <w:p w:rsidR="00E725A0" w:rsidRDefault="00E81555">
            <w:pPr>
              <w:jc w:val="center"/>
            </w:pPr>
            <w:r>
              <w:rPr>
                <w:rFonts w:hint="eastAsia"/>
              </w:rPr>
              <w:t>語彙力</w:t>
            </w:r>
          </w:p>
        </w:tc>
        <w:tc>
          <w:tcPr>
            <w:tcW w:w="1276" w:type="dxa"/>
          </w:tcPr>
          <w:p w:rsidR="00E725A0" w:rsidRDefault="00E81555">
            <w:r>
              <w:rPr>
                <w:rFonts w:hint="eastAsia"/>
              </w:rPr>
              <w:t>20</w:t>
            </w:r>
            <w:r>
              <w:rPr>
                <w:rFonts w:hint="eastAsia"/>
              </w:rPr>
              <w:t>％</w:t>
            </w:r>
          </w:p>
        </w:tc>
      </w:tr>
      <w:tr w:rsidR="00E725A0">
        <w:trPr>
          <w:trHeight w:val="365"/>
        </w:trPr>
        <w:tc>
          <w:tcPr>
            <w:tcW w:w="979" w:type="dxa"/>
            <w:vMerge/>
            <w:shd w:val="clear" w:color="auto" w:fill="B8CCE4" w:themeFill="accent1" w:themeFillTint="66"/>
            <w:vAlign w:val="center"/>
          </w:tcPr>
          <w:p w:rsidR="00E725A0" w:rsidRDefault="00E725A0">
            <w:pPr>
              <w:jc w:val="center"/>
            </w:pPr>
          </w:p>
        </w:tc>
        <w:tc>
          <w:tcPr>
            <w:tcW w:w="7351" w:type="dxa"/>
            <w:gridSpan w:val="3"/>
            <w:vMerge/>
          </w:tcPr>
          <w:p w:rsidR="00E725A0" w:rsidRDefault="00E725A0"/>
        </w:tc>
        <w:tc>
          <w:tcPr>
            <w:tcW w:w="992" w:type="dxa"/>
            <w:shd w:val="clear" w:color="auto" w:fill="B8CCE4" w:themeFill="accent1" w:themeFillTint="66"/>
            <w:vAlign w:val="center"/>
          </w:tcPr>
          <w:p w:rsidR="00E725A0" w:rsidRDefault="00E81555">
            <w:pPr>
              <w:jc w:val="center"/>
            </w:pPr>
            <w:r>
              <w:rPr>
                <w:rFonts w:hint="eastAsia"/>
              </w:rPr>
              <w:t>&lt;</w:t>
            </w:r>
            <w:r>
              <w:rPr>
                <w:rFonts w:hint="eastAsia"/>
              </w:rPr>
              <w:t>話す</w:t>
            </w:r>
            <w:r>
              <w:rPr>
                <w:rFonts w:hint="eastAsia"/>
              </w:rPr>
              <w:t>&gt;</w:t>
            </w:r>
          </w:p>
        </w:tc>
        <w:tc>
          <w:tcPr>
            <w:tcW w:w="1276" w:type="dxa"/>
          </w:tcPr>
          <w:p w:rsidR="00E725A0" w:rsidRDefault="00E725A0"/>
        </w:tc>
      </w:tr>
      <w:tr w:rsidR="00E725A0">
        <w:trPr>
          <w:trHeight w:val="285"/>
        </w:trPr>
        <w:tc>
          <w:tcPr>
            <w:tcW w:w="979" w:type="dxa"/>
            <w:vMerge/>
            <w:shd w:val="clear" w:color="auto" w:fill="B8CCE4" w:themeFill="accent1" w:themeFillTint="66"/>
            <w:vAlign w:val="center"/>
          </w:tcPr>
          <w:p w:rsidR="00E725A0" w:rsidRDefault="00E725A0">
            <w:pPr>
              <w:jc w:val="center"/>
            </w:pPr>
          </w:p>
        </w:tc>
        <w:tc>
          <w:tcPr>
            <w:tcW w:w="7351" w:type="dxa"/>
            <w:gridSpan w:val="3"/>
            <w:vMerge/>
          </w:tcPr>
          <w:p w:rsidR="00E725A0" w:rsidRDefault="00E725A0"/>
        </w:tc>
        <w:tc>
          <w:tcPr>
            <w:tcW w:w="992" w:type="dxa"/>
            <w:shd w:val="clear" w:color="auto" w:fill="B8CCE4" w:themeFill="accent1" w:themeFillTint="66"/>
            <w:vAlign w:val="center"/>
          </w:tcPr>
          <w:p w:rsidR="00E725A0" w:rsidRDefault="00E81555">
            <w:pPr>
              <w:jc w:val="center"/>
            </w:pPr>
            <w:r>
              <w:rPr>
                <w:rFonts w:hint="eastAsia"/>
              </w:rPr>
              <w:t>&lt;</w:t>
            </w:r>
            <w:r>
              <w:rPr>
                <w:rFonts w:hint="eastAsia"/>
              </w:rPr>
              <w:t>読む</w:t>
            </w:r>
            <w:r>
              <w:rPr>
                <w:rFonts w:hint="eastAsia"/>
              </w:rPr>
              <w:t>&gt;</w:t>
            </w:r>
          </w:p>
        </w:tc>
        <w:tc>
          <w:tcPr>
            <w:tcW w:w="1276" w:type="dxa"/>
          </w:tcPr>
          <w:p w:rsidR="00E725A0" w:rsidRDefault="00E725A0"/>
        </w:tc>
      </w:tr>
      <w:tr w:rsidR="00E725A0">
        <w:trPr>
          <w:trHeight w:val="347"/>
        </w:trPr>
        <w:tc>
          <w:tcPr>
            <w:tcW w:w="979" w:type="dxa"/>
            <w:vMerge/>
            <w:shd w:val="clear" w:color="auto" w:fill="B8CCE4" w:themeFill="accent1" w:themeFillTint="66"/>
            <w:vAlign w:val="center"/>
          </w:tcPr>
          <w:p w:rsidR="00E725A0" w:rsidRDefault="00E725A0">
            <w:pPr>
              <w:jc w:val="center"/>
            </w:pPr>
          </w:p>
        </w:tc>
        <w:tc>
          <w:tcPr>
            <w:tcW w:w="7351" w:type="dxa"/>
            <w:gridSpan w:val="3"/>
            <w:vMerge/>
          </w:tcPr>
          <w:p w:rsidR="00E725A0" w:rsidRDefault="00E725A0"/>
        </w:tc>
        <w:tc>
          <w:tcPr>
            <w:tcW w:w="992" w:type="dxa"/>
            <w:shd w:val="clear" w:color="auto" w:fill="B8CCE4" w:themeFill="accent1" w:themeFillTint="66"/>
            <w:vAlign w:val="center"/>
          </w:tcPr>
          <w:p w:rsidR="00E725A0" w:rsidRDefault="00E81555">
            <w:pPr>
              <w:jc w:val="center"/>
            </w:pPr>
            <w:r>
              <w:rPr>
                <w:rFonts w:hint="eastAsia"/>
              </w:rPr>
              <w:t>&lt;</w:t>
            </w:r>
            <w:r>
              <w:rPr>
                <w:rFonts w:hint="eastAsia"/>
              </w:rPr>
              <w:t>書く</w:t>
            </w:r>
            <w:r>
              <w:rPr>
                <w:rFonts w:hint="eastAsia"/>
              </w:rPr>
              <w:t>&gt;</w:t>
            </w:r>
          </w:p>
        </w:tc>
        <w:tc>
          <w:tcPr>
            <w:tcW w:w="1276" w:type="dxa"/>
          </w:tcPr>
          <w:p w:rsidR="00E725A0" w:rsidRDefault="00E725A0"/>
        </w:tc>
      </w:tr>
      <w:tr w:rsidR="00E725A0">
        <w:trPr>
          <w:trHeight w:val="381"/>
        </w:trPr>
        <w:tc>
          <w:tcPr>
            <w:tcW w:w="979" w:type="dxa"/>
            <w:vMerge/>
            <w:shd w:val="clear" w:color="auto" w:fill="B8CCE4" w:themeFill="accent1" w:themeFillTint="66"/>
            <w:vAlign w:val="center"/>
          </w:tcPr>
          <w:p w:rsidR="00E725A0" w:rsidRDefault="00E725A0">
            <w:pPr>
              <w:jc w:val="center"/>
            </w:pPr>
          </w:p>
        </w:tc>
        <w:tc>
          <w:tcPr>
            <w:tcW w:w="7351" w:type="dxa"/>
            <w:gridSpan w:val="3"/>
            <w:vMerge/>
          </w:tcPr>
          <w:p w:rsidR="00E725A0" w:rsidRDefault="00E725A0"/>
        </w:tc>
        <w:tc>
          <w:tcPr>
            <w:tcW w:w="992" w:type="dxa"/>
            <w:shd w:val="clear" w:color="auto" w:fill="B8CCE4" w:themeFill="accent1" w:themeFillTint="66"/>
            <w:vAlign w:val="center"/>
          </w:tcPr>
          <w:p w:rsidR="00E725A0" w:rsidRDefault="00E81555">
            <w:pPr>
              <w:jc w:val="center"/>
            </w:pPr>
            <w:r>
              <w:rPr>
                <w:rFonts w:hint="eastAsia"/>
              </w:rPr>
              <w:t>&lt;</w:t>
            </w:r>
            <w:r>
              <w:rPr>
                <w:rFonts w:hint="eastAsia"/>
              </w:rPr>
              <w:t>聴く</w:t>
            </w:r>
            <w:r>
              <w:rPr>
                <w:rFonts w:hint="eastAsia"/>
              </w:rPr>
              <w:t>&gt;</w:t>
            </w:r>
          </w:p>
        </w:tc>
        <w:tc>
          <w:tcPr>
            <w:tcW w:w="1276" w:type="dxa"/>
          </w:tcPr>
          <w:p w:rsidR="00E725A0" w:rsidRDefault="00E725A0"/>
        </w:tc>
      </w:tr>
      <w:tr w:rsidR="00E725A0">
        <w:tc>
          <w:tcPr>
            <w:tcW w:w="979" w:type="dxa"/>
            <w:shd w:val="clear" w:color="auto" w:fill="B8CCE4" w:themeFill="accent1" w:themeFillTint="66"/>
            <w:vAlign w:val="center"/>
          </w:tcPr>
          <w:p w:rsidR="00E725A0" w:rsidRDefault="00E81555">
            <w:pPr>
              <w:jc w:val="center"/>
            </w:pPr>
            <w:r>
              <w:rPr>
                <w:rFonts w:hint="eastAsia"/>
              </w:rPr>
              <w:t>指導</w:t>
            </w:r>
          </w:p>
          <w:p w:rsidR="00E725A0" w:rsidRDefault="00E81555">
            <w:pPr>
              <w:jc w:val="center"/>
            </w:pPr>
            <w:r>
              <w:rPr>
                <w:rFonts w:hint="eastAsia"/>
              </w:rPr>
              <w:t>目標</w:t>
            </w:r>
          </w:p>
        </w:tc>
        <w:tc>
          <w:tcPr>
            <w:tcW w:w="9619" w:type="dxa"/>
            <w:gridSpan w:val="5"/>
          </w:tcPr>
          <w:p w:rsidR="00E725A0" w:rsidRDefault="00E81555">
            <w:r>
              <w:rPr>
                <w:rFonts w:hint="eastAsia"/>
              </w:rPr>
              <w:t>日常のコミュニケーションや、教科の学習活動に積極的に参加するために必要な語彙や表現力を獲得する。</w:t>
            </w:r>
          </w:p>
        </w:tc>
      </w:tr>
      <w:tr w:rsidR="00E81555" w:rsidRPr="00E81555">
        <w:tc>
          <w:tcPr>
            <w:tcW w:w="979" w:type="dxa"/>
            <w:shd w:val="clear" w:color="auto" w:fill="B8CCE4" w:themeFill="accent1" w:themeFillTint="66"/>
            <w:vAlign w:val="center"/>
          </w:tcPr>
          <w:p w:rsidR="00E725A0" w:rsidRPr="00E81555" w:rsidRDefault="00E81555">
            <w:pPr>
              <w:jc w:val="center"/>
            </w:pPr>
            <w:r w:rsidRPr="00E81555">
              <w:rPr>
                <w:rFonts w:hint="eastAsia"/>
              </w:rPr>
              <w:t>指導</w:t>
            </w:r>
          </w:p>
          <w:p w:rsidR="00E725A0" w:rsidRPr="00E81555" w:rsidRDefault="00E81555">
            <w:pPr>
              <w:jc w:val="center"/>
            </w:pPr>
            <w:r w:rsidRPr="00E81555">
              <w:rPr>
                <w:rFonts w:hint="eastAsia"/>
              </w:rPr>
              <w:t>計画</w:t>
            </w:r>
          </w:p>
        </w:tc>
        <w:tc>
          <w:tcPr>
            <w:tcW w:w="9619" w:type="dxa"/>
            <w:gridSpan w:val="5"/>
          </w:tcPr>
          <w:p w:rsidR="00E725A0" w:rsidRPr="00E81555" w:rsidRDefault="00E81555">
            <w:r w:rsidRPr="00E81555">
              <w:rPr>
                <w:rFonts w:hint="eastAsia"/>
              </w:rPr>
              <w:t>・日記指導を通して、日常生活の語彙を獲得していく。また、基本的な文型を使えるようになる。</w:t>
            </w:r>
          </w:p>
          <w:p w:rsidR="00E725A0" w:rsidRPr="00E81555" w:rsidRDefault="00E81555">
            <w:r w:rsidRPr="00E81555">
              <w:rPr>
                <w:rFonts w:hint="eastAsia"/>
              </w:rPr>
              <w:t>・教科書やその他の読み物を読むことを通して、日常語彙や教科書語彙を増やしていく。</w:t>
            </w:r>
          </w:p>
          <w:p w:rsidR="00E725A0" w:rsidRPr="00E81555" w:rsidRDefault="00E81555">
            <w:pPr>
              <w:ind w:left="210" w:hangingChars="100" w:hanging="210"/>
            </w:pPr>
            <w:r w:rsidRPr="00E81555">
              <w:rPr>
                <w:rFonts w:hint="eastAsia"/>
              </w:rPr>
              <w:t>・日本語の課題が教科理解の課題につながらないように、やさしい日本語に言い換えて教</w:t>
            </w:r>
            <w:r w:rsidR="008D0AC7">
              <w:rPr>
                <w:rFonts w:hint="eastAsia"/>
              </w:rPr>
              <w:t>科の指導を行う。最終的に、教科内容を日本語で理解できることをめざ</w:t>
            </w:r>
            <w:bookmarkStart w:id="0" w:name="_GoBack"/>
            <w:bookmarkEnd w:id="0"/>
            <w:r w:rsidRPr="00E81555">
              <w:rPr>
                <w:rFonts w:hint="eastAsia"/>
              </w:rPr>
              <w:t>す。</w:t>
            </w:r>
          </w:p>
        </w:tc>
      </w:tr>
    </w:tbl>
    <w:p w:rsidR="00E725A0" w:rsidRPr="00E81555" w:rsidRDefault="00E725A0"/>
    <w:p w:rsidR="00E725A0" w:rsidRPr="00E81555" w:rsidRDefault="00E81555">
      <w:pPr>
        <w:pStyle w:val="a3"/>
        <w:numPr>
          <w:ilvl w:val="0"/>
          <w:numId w:val="1"/>
        </w:numPr>
        <w:ind w:leftChars="0"/>
      </w:pPr>
      <w:r w:rsidRPr="00E81555">
        <w:rPr>
          <w:rFonts w:hint="eastAsia"/>
        </w:rPr>
        <w:t>教科・単元名　算数「１００より大きい数をしらべよう」</w:t>
      </w:r>
    </w:p>
    <w:p w:rsidR="00E725A0" w:rsidRPr="00E81555" w:rsidRDefault="00E81555">
      <w:pPr>
        <w:pStyle w:val="a3"/>
        <w:numPr>
          <w:ilvl w:val="0"/>
          <w:numId w:val="1"/>
        </w:numPr>
        <w:ind w:leftChars="0"/>
      </w:pPr>
      <w:r w:rsidRPr="00E81555">
        <w:rPr>
          <w:rFonts w:hint="eastAsia"/>
        </w:rPr>
        <w:t>目標</w:t>
      </w:r>
      <w:r w:rsidRPr="00E81555">
        <w:rPr>
          <w:rFonts w:hint="eastAsia"/>
        </w:rPr>
        <w:t>(</w:t>
      </w:r>
      <w:r w:rsidRPr="00E81555">
        <w:rPr>
          <w:rFonts w:hint="eastAsia"/>
        </w:rPr>
        <w:t>教　科</w:t>
      </w:r>
      <w:r w:rsidRPr="00E81555">
        <w:rPr>
          <w:rFonts w:hint="eastAsia"/>
        </w:rPr>
        <w:t>)</w:t>
      </w:r>
      <w:r w:rsidRPr="00E81555">
        <w:rPr>
          <w:rFonts w:hint="eastAsia"/>
          <w:kern w:val="0"/>
        </w:rPr>
        <w:t>３位数の構成や各位の数についてまとめる。</w:t>
      </w:r>
    </w:p>
    <w:p w:rsidR="00E725A0" w:rsidRPr="00E81555" w:rsidRDefault="00E81555">
      <w:pPr>
        <w:pStyle w:val="a3"/>
        <w:ind w:leftChars="0" w:left="360"/>
      </w:pPr>
      <w:r w:rsidRPr="00E81555">
        <w:rPr>
          <w:rFonts w:hint="eastAsia"/>
        </w:rPr>
        <w:t xml:space="preserve">　　</w:t>
      </w:r>
      <w:r w:rsidRPr="00E81555">
        <w:rPr>
          <w:rFonts w:hint="eastAsia"/>
        </w:rPr>
        <w:t>(</w:t>
      </w:r>
      <w:r w:rsidRPr="00E81555">
        <w:rPr>
          <w:rFonts w:hint="eastAsia"/>
        </w:rPr>
        <w:t>日本語</w:t>
      </w:r>
      <w:r w:rsidRPr="00E81555">
        <w:rPr>
          <w:rFonts w:hint="eastAsia"/>
        </w:rPr>
        <w:t>)</w:t>
      </w:r>
      <w:r w:rsidRPr="00E81555">
        <w:rPr>
          <w:rFonts w:hint="eastAsia"/>
        </w:rPr>
        <w:t>数をあらわす言葉「１００を何こ、１０を何こ、１を何こ」の意味を知り、使えるようになる。</w:t>
      </w:r>
    </w:p>
    <w:p w:rsidR="00E725A0" w:rsidRPr="00E81555" w:rsidRDefault="00E81555">
      <w:pPr>
        <w:pStyle w:val="a3"/>
        <w:numPr>
          <w:ilvl w:val="0"/>
          <w:numId w:val="1"/>
        </w:numPr>
        <w:ind w:leftChars="0"/>
      </w:pPr>
      <w:r w:rsidRPr="00E81555">
        <w:rPr>
          <w:rFonts w:hint="eastAsia"/>
        </w:rPr>
        <w:t>本時の展開</w:t>
      </w:r>
    </w:p>
    <w:tbl>
      <w:tblPr>
        <w:tblStyle w:val="a6"/>
        <w:tblW w:w="10598" w:type="dxa"/>
        <w:tblLayout w:type="fixed"/>
        <w:tblLook w:val="04A0" w:firstRow="1" w:lastRow="0" w:firstColumn="1" w:lastColumn="0" w:noHBand="0" w:noVBand="1"/>
      </w:tblPr>
      <w:tblGrid>
        <w:gridCol w:w="3936"/>
        <w:gridCol w:w="4961"/>
        <w:gridCol w:w="1701"/>
      </w:tblGrid>
      <w:tr w:rsidR="00E81555" w:rsidRPr="00E81555">
        <w:tc>
          <w:tcPr>
            <w:tcW w:w="3936" w:type="dxa"/>
            <w:shd w:val="clear" w:color="auto" w:fill="B8CCE4" w:themeFill="accent1" w:themeFillTint="66"/>
            <w:vAlign w:val="center"/>
          </w:tcPr>
          <w:p w:rsidR="00E725A0" w:rsidRPr="00E81555" w:rsidRDefault="00E81555">
            <w:pPr>
              <w:jc w:val="center"/>
            </w:pPr>
            <w:r w:rsidRPr="00E81555">
              <w:rPr>
                <w:rFonts w:hint="eastAsia"/>
              </w:rPr>
              <w:t>学習活動</w:t>
            </w:r>
          </w:p>
        </w:tc>
        <w:tc>
          <w:tcPr>
            <w:tcW w:w="4961" w:type="dxa"/>
            <w:shd w:val="clear" w:color="auto" w:fill="B8CCE4" w:themeFill="accent1" w:themeFillTint="66"/>
            <w:vAlign w:val="center"/>
          </w:tcPr>
          <w:p w:rsidR="00E725A0" w:rsidRPr="00E81555" w:rsidRDefault="00E81555">
            <w:pPr>
              <w:jc w:val="center"/>
            </w:pPr>
            <w:r w:rsidRPr="00E81555">
              <w:rPr>
                <w:rFonts w:hint="eastAsia"/>
              </w:rPr>
              <w:t>指導上の留意点</w:t>
            </w:r>
          </w:p>
        </w:tc>
        <w:tc>
          <w:tcPr>
            <w:tcW w:w="1701" w:type="dxa"/>
            <w:shd w:val="clear" w:color="auto" w:fill="B8CCE4" w:themeFill="accent1" w:themeFillTint="66"/>
            <w:vAlign w:val="center"/>
          </w:tcPr>
          <w:p w:rsidR="00E725A0" w:rsidRPr="00E81555" w:rsidRDefault="00E81555">
            <w:pPr>
              <w:jc w:val="center"/>
            </w:pPr>
            <w:r w:rsidRPr="00E81555">
              <w:rPr>
                <w:rFonts w:hint="eastAsia"/>
              </w:rPr>
              <w:t>準備物</w:t>
            </w:r>
          </w:p>
          <w:p w:rsidR="00E725A0" w:rsidRPr="00E81555" w:rsidRDefault="00E81555">
            <w:pPr>
              <w:jc w:val="center"/>
            </w:pPr>
            <w:r w:rsidRPr="00E81555">
              <w:rPr>
                <w:rFonts w:hint="eastAsia"/>
              </w:rPr>
              <w:t>・資料等</w:t>
            </w:r>
          </w:p>
        </w:tc>
      </w:tr>
      <w:tr w:rsidR="00E725A0" w:rsidRPr="00E81555">
        <w:trPr>
          <w:trHeight w:val="3505"/>
        </w:trPr>
        <w:tc>
          <w:tcPr>
            <w:tcW w:w="3936" w:type="dxa"/>
          </w:tcPr>
          <w:p w:rsidR="00E725A0" w:rsidRPr="00E81555" w:rsidRDefault="00E81555">
            <w:pPr>
              <w:pStyle w:val="a3"/>
              <w:numPr>
                <w:ilvl w:val="0"/>
                <w:numId w:val="2"/>
              </w:numPr>
              <w:ind w:leftChars="0"/>
            </w:pPr>
            <w:r w:rsidRPr="00E81555">
              <w:rPr>
                <w:rFonts w:hint="eastAsia"/>
              </w:rPr>
              <w:t>絵本を読む。</w:t>
            </w:r>
            <w:r w:rsidRPr="00E81555">
              <w:rPr>
                <w:rFonts w:hint="eastAsia"/>
              </w:rPr>
              <w:t>(</w:t>
            </w:r>
            <w:r w:rsidRPr="00E81555">
              <w:rPr>
                <w:rFonts w:hint="eastAsia"/>
              </w:rPr>
              <w:t>５分</w:t>
            </w:r>
            <w:r w:rsidRPr="00E81555">
              <w:rPr>
                <w:rFonts w:hint="eastAsia"/>
              </w:rPr>
              <w:t>)</w:t>
            </w:r>
          </w:p>
          <w:p w:rsidR="00E725A0" w:rsidRPr="00E81555" w:rsidRDefault="00E725A0"/>
          <w:p w:rsidR="00E725A0" w:rsidRPr="00E81555" w:rsidRDefault="00E725A0"/>
          <w:p w:rsidR="00E725A0" w:rsidRPr="00E81555" w:rsidRDefault="00E725A0"/>
          <w:p w:rsidR="00E725A0" w:rsidRPr="00E81555" w:rsidRDefault="00E81555">
            <w:pPr>
              <w:pStyle w:val="a3"/>
              <w:numPr>
                <w:ilvl w:val="0"/>
                <w:numId w:val="2"/>
              </w:numPr>
              <w:ind w:leftChars="0"/>
            </w:pPr>
            <w:r w:rsidRPr="00E81555">
              <w:rPr>
                <w:rFonts w:hint="eastAsia"/>
              </w:rPr>
              <w:t>算数「</w:t>
            </w:r>
            <w:r w:rsidRPr="00E81555">
              <w:rPr>
                <w:rFonts w:hint="eastAsia"/>
              </w:rPr>
              <w:t>100</w:t>
            </w:r>
            <w:r w:rsidRPr="00E81555">
              <w:rPr>
                <w:rFonts w:hint="eastAsia"/>
              </w:rPr>
              <w:t>よりも大きい数を調べよう」</w:t>
            </w:r>
            <w:r w:rsidRPr="00E81555">
              <w:rPr>
                <w:rFonts w:hint="eastAsia"/>
              </w:rPr>
              <w:t>(20</w:t>
            </w:r>
            <w:r w:rsidRPr="00E81555">
              <w:rPr>
                <w:rFonts w:hint="eastAsia"/>
              </w:rPr>
              <w:t>分</w:t>
            </w:r>
            <w:r w:rsidRPr="00E81555">
              <w:rPr>
                <w:rFonts w:hint="eastAsia"/>
              </w:rPr>
              <w:t>)</w:t>
            </w:r>
          </w:p>
          <w:p w:rsidR="00E725A0" w:rsidRPr="00E81555" w:rsidRDefault="00E81555">
            <w:r w:rsidRPr="00E81555">
              <w:rPr>
                <w:rFonts w:hint="eastAsia"/>
              </w:rPr>
              <w:t>・前時のふりかえり</w:t>
            </w:r>
          </w:p>
          <w:p w:rsidR="00E725A0" w:rsidRPr="00E81555" w:rsidRDefault="00E725A0"/>
          <w:p w:rsidR="00E725A0" w:rsidRPr="00E81555" w:rsidRDefault="00E81555">
            <w:r w:rsidRPr="00E81555">
              <w:rPr>
                <w:rFonts w:hint="eastAsia"/>
              </w:rPr>
              <w:t>・めあてを知る</w:t>
            </w:r>
          </w:p>
          <w:p w:rsidR="00E725A0" w:rsidRPr="00E81555" w:rsidRDefault="00E81555">
            <w:pPr>
              <w:ind w:left="210" w:hangingChars="100" w:hanging="210"/>
            </w:pPr>
            <w:r w:rsidRPr="00E81555">
              <w:rPr>
                <w:rFonts w:hint="eastAsia"/>
              </w:rPr>
              <w:t>・百、十、一のくらいをそれぞれの表し方を考える。</w:t>
            </w:r>
          </w:p>
          <w:p w:rsidR="00E725A0" w:rsidRPr="00E81555" w:rsidRDefault="00E81555">
            <w:pPr>
              <w:ind w:left="210" w:hangingChars="100" w:hanging="210"/>
            </w:pPr>
            <w:r w:rsidRPr="00E81555">
              <w:rPr>
                <w:rFonts w:hint="eastAsia"/>
              </w:rPr>
              <w:t>・自分なりの問題をミニホワイトボードに書く。</w:t>
            </w:r>
          </w:p>
          <w:p w:rsidR="00E725A0" w:rsidRPr="00E81555" w:rsidRDefault="00E81555">
            <w:pPr>
              <w:ind w:left="210" w:hangingChars="100" w:hanging="210"/>
            </w:pPr>
            <w:r w:rsidRPr="00E81555">
              <w:rPr>
                <w:rFonts w:hint="eastAsia"/>
              </w:rPr>
              <w:t>・ペアトークで問題を出し合う。</w:t>
            </w:r>
          </w:p>
          <w:p w:rsidR="00E725A0" w:rsidRPr="00E81555" w:rsidRDefault="00E725A0">
            <w:pPr>
              <w:ind w:left="210" w:hangingChars="100" w:hanging="210"/>
            </w:pPr>
          </w:p>
          <w:p w:rsidR="00E725A0" w:rsidRPr="00E81555" w:rsidRDefault="00E725A0">
            <w:pPr>
              <w:ind w:left="210" w:hangingChars="100" w:hanging="210"/>
            </w:pPr>
          </w:p>
          <w:p w:rsidR="00E725A0" w:rsidRPr="00E81555" w:rsidRDefault="00E81555">
            <w:pPr>
              <w:pStyle w:val="a3"/>
              <w:numPr>
                <w:ilvl w:val="0"/>
                <w:numId w:val="2"/>
              </w:numPr>
              <w:ind w:leftChars="0"/>
            </w:pPr>
            <w:r w:rsidRPr="00E81555">
              <w:rPr>
                <w:rFonts w:hint="eastAsia"/>
              </w:rPr>
              <w:t>ふりかえり日記</w:t>
            </w:r>
            <w:r w:rsidRPr="00E81555">
              <w:rPr>
                <w:rFonts w:hint="eastAsia"/>
              </w:rPr>
              <w:t>(10</w:t>
            </w:r>
            <w:r w:rsidRPr="00E81555">
              <w:rPr>
                <w:rFonts w:hint="eastAsia"/>
              </w:rPr>
              <w:t>分</w:t>
            </w:r>
            <w:r w:rsidRPr="00E81555">
              <w:rPr>
                <w:rFonts w:hint="eastAsia"/>
              </w:rPr>
              <w:t>)</w:t>
            </w:r>
          </w:p>
        </w:tc>
        <w:tc>
          <w:tcPr>
            <w:tcW w:w="4961" w:type="dxa"/>
          </w:tcPr>
          <w:p w:rsidR="00E725A0" w:rsidRPr="00E81555" w:rsidRDefault="00E81555">
            <w:r w:rsidRPr="00E81555">
              <w:rPr>
                <w:rFonts w:hint="eastAsia"/>
              </w:rPr>
              <w:t>・教員がクイズのように問いかけながら読むことで、子どもたちの興味を引く。</w:t>
            </w:r>
          </w:p>
          <w:p w:rsidR="00E725A0" w:rsidRPr="00E81555" w:rsidRDefault="00E81555">
            <w:r w:rsidRPr="00E81555">
              <w:rPr>
                <w:rFonts w:hint="eastAsia"/>
              </w:rPr>
              <w:t>・教員が挿絵に注目させ、子どもたちのことばを引き出す。</w:t>
            </w:r>
          </w:p>
          <w:p w:rsidR="00E725A0" w:rsidRPr="00E81555" w:rsidRDefault="00E725A0"/>
          <w:p w:rsidR="00E725A0" w:rsidRPr="00E81555" w:rsidRDefault="00E725A0"/>
          <w:p w:rsidR="00E725A0" w:rsidRPr="00E81555" w:rsidRDefault="00E725A0"/>
          <w:p w:rsidR="00E725A0" w:rsidRPr="00E81555" w:rsidRDefault="00E81555">
            <w:r w:rsidRPr="00E81555">
              <w:rPr>
                <w:rFonts w:hint="eastAsia"/>
              </w:rPr>
              <w:t>・数を百、十、一の位で分けると、簡単に表すことができることをふりかえる。</w:t>
            </w:r>
          </w:p>
          <w:p w:rsidR="00E725A0" w:rsidRPr="00E81555" w:rsidRDefault="00E81555">
            <w:pPr>
              <w:rPr>
                <w:bdr w:val="single" w:sz="4" w:space="0" w:color="auto"/>
              </w:rPr>
            </w:pPr>
            <w:r w:rsidRPr="00E81555">
              <w:rPr>
                <w:rFonts w:hint="eastAsia"/>
                <w:bdr w:val="single" w:sz="4" w:space="0" w:color="auto"/>
              </w:rPr>
              <w:t>(</w:t>
            </w:r>
            <w:r w:rsidRPr="00E81555">
              <w:rPr>
                <w:rFonts w:hint="eastAsia"/>
                <w:bdr w:val="single" w:sz="4" w:space="0" w:color="auto"/>
              </w:rPr>
              <w:t>めあて</w:t>
            </w:r>
            <w:r w:rsidRPr="00E81555">
              <w:rPr>
                <w:rFonts w:hint="eastAsia"/>
                <w:bdr w:val="single" w:sz="4" w:space="0" w:color="auto"/>
              </w:rPr>
              <w:t>)</w:t>
            </w:r>
            <w:r w:rsidRPr="00E81555">
              <w:rPr>
                <w:rFonts w:hint="eastAsia"/>
                <w:bdr w:val="single" w:sz="4" w:space="0" w:color="auto"/>
              </w:rPr>
              <w:t>もんだいをつくって、クイズを出そう。</w:t>
            </w:r>
          </w:p>
          <w:p w:rsidR="00E725A0" w:rsidRPr="00E81555" w:rsidRDefault="00E81555">
            <w:pPr>
              <w:ind w:left="210" w:hangingChars="100" w:hanging="210"/>
            </w:pPr>
            <w:r w:rsidRPr="00E81555">
              <w:rPr>
                <w:rFonts w:hint="eastAsia"/>
              </w:rPr>
              <w:t>・「○○を○こ」「あわせた数は○○です」という言葉で表現できることをおさえる。</w:t>
            </w:r>
          </w:p>
          <w:p w:rsidR="00E725A0" w:rsidRPr="00E81555" w:rsidRDefault="00E81555">
            <w:r w:rsidRPr="00E81555">
              <w:rPr>
                <w:rFonts w:hint="eastAsia"/>
              </w:rPr>
              <w:t>・助数詞に気をつける。</w:t>
            </w:r>
          </w:p>
          <w:p w:rsidR="00E725A0" w:rsidRPr="00E81555" w:rsidRDefault="00E81555">
            <w:r w:rsidRPr="00E81555">
              <w:rPr>
                <w:rFonts w:hint="eastAsia"/>
              </w:rPr>
              <w:t>・助詞に気をつける。</w:t>
            </w:r>
          </w:p>
          <w:p w:rsidR="00E725A0" w:rsidRPr="00E81555" w:rsidRDefault="00E81555">
            <w:pPr>
              <w:ind w:left="210" w:hangingChars="100" w:hanging="210"/>
            </w:pPr>
            <w:r w:rsidRPr="00E81555">
              <w:rPr>
                <w:rFonts w:hint="eastAsia"/>
              </w:rPr>
              <w:t>・質問する時に、「○○を○こ」「あわせた数は○○です」の言葉を、順序よく話すことを確認する。</w:t>
            </w:r>
          </w:p>
          <w:p w:rsidR="00E725A0" w:rsidRPr="00E81555" w:rsidRDefault="00E725A0"/>
          <w:p w:rsidR="00E725A0" w:rsidRPr="00E81555" w:rsidRDefault="00E81555">
            <w:r w:rsidRPr="00E81555">
              <w:rPr>
                <w:rFonts w:hint="eastAsia"/>
              </w:rPr>
              <w:t>・５Ｗ２Ｈの順序に沿って、書くことをおさえる。</w:t>
            </w:r>
          </w:p>
          <w:p w:rsidR="00E725A0" w:rsidRPr="00E81555" w:rsidRDefault="00E81555">
            <w:pPr>
              <w:ind w:left="210" w:hangingChars="100" w:hanging="210"/>
            </w:pPr>
            <w:r w:rsidRPr="00E81555">
              <w:rPr>
                <w:rFonts w:hint="eastAsia"/>
              </w:rPr>
              <w:t>・書きたいことの中で、日本語が分からないものは、指導者の方から日本語で言い換える。</w:t>
            </w:r>
          </w:p>
        </w:tc>
        <w:tc>
          <w:tcPr>
            <w:tcW w:w="1701" w:type="dxa"/>
          </w:tcPr>
          <w:p w:rsidR="00E725A0" w:rsidRPr="00E81555" w:rsidRDefault="00E81555">
            <w:r w:rsidRPr="00E81555">
              <w:rPr>
                <w:rFonts w:hint="eastAsia"/>
              </w:rPr>
              <w:t>・絵本</w:t>
            </w:r>
          </w:p>
          <w:p w:rsidR="00E725A0" w:rsidRPr="00E81555" w:rsidRDefault="00E725A0"/>
          <w:p w:rsidR="00E725A0" w:rsidRPr="00E81555" w:rsidRDefault="00E725A0"/>
          <w:p w:rsidR="00E725A0" w:rsidRPr="00E81555" w:rsidRDefault="00E725A0"/>
          <w:p w:rsidR="00E725A0" w:rsidRPr="00E81555" w:rsidRDefault="00E725A0"/>
          <w:p w:rsidR="00E725A0" w:rsidRPr="00E81555" w:rsidRDefault="00E725A0"/>
          <w:p w:rsidR="00E725A0" w:rsidRPr="00E81555" w:rsidRDefault="00E725A0"/>
          <w:p w:rsidR="00E725A0" w:rsidRPr="00E81555" w:rsidRDefault="00E725A0"/>
          <w:p w:rsidR="00E725A0" w:rsidRPr="00E81555" w:rsidRDefault="00E725A0"/>
          <w:p w:rsidR="00E725A0" w:rsidRPr="00E81555" w:rsidRDefault="00E725A0"/>
          <w:p w:rsidR="00E725A0" w:rsidRPr="00E81555" w:rsidRDefault="00E725A0"/>
          <w:p w:rsidR="00E725A0" w:rsidRPr="00E81555" w:rsidRDefault="00E81555">
            <w:pPr>
              <w:ind w:left="210" w:hangingChars="100" w:hanging="210"/>
            </w:pPr>
            <w:r w:rsidRPr="00E81555">
              <w:rPr>
                <w:rFonts w:hint="eastAsia"/>
              </w:rPr>
              <w:t>・ミニホワイトボード</w:t>
            </w:r>
          </w:p>
          <w:p w:rsidR="00E725A0" w:rsidRPr="00E81555" w:rsidRDefault="00E725A0">
            <w:pPr>
              <w:ind w:left="210" w:hangingChars="100" w:hanging="210"/>
            </w:pPr>
          </w:p>
          <w:p w:rsidR="00E725A0" w:rsidRPr="00E81555" w:rsidRDefault="00E725A0">
            <w:pPr>
              <w:ind w:left="210" w:hangingChars="100" w:hanging="210"/>
            </w:pPr>
          </w:p>
          <w:p w:rsidR="00E725A0" w:rsidRPr="00E81555" w:rsidRDefault="00E725A0">
            <w:pPr>
              <w:ind w:left="210" w:hangingChars="100" w:hanging="210"/>
            </w:pPr>
          </w:p>
          <w:p w:rsidR="00E725A0" w:rsidRPr="00E81555" w:rsidRDefault="00E81555">
            <w:pPr>
              <w:ind w:left="210" w:hangingChars="100" w:hanging="210"/>
            </w:pPr>
            <w:r w:rsidRPr="00E81555">
              <w:rPr>
                <w:rFonts w:hint="eastAsia"/>
              </w:rPr>
              <w:t>・ミニノート</w:t>
            </w:r>
          </w:p>
          <w:p w:rsidR="00E725A0" w:rsidRPr="00E81555" w:rsidRDefault="00E725A0">
            <w:pPr>
              <w:ind w:left="210" w:hangingChars="100" w:hanging="210"/>
            </w:pPr>
          </w:p>
        </w:tc>
      </w:tr>
    </w:tbl>
    <w:p w:rsidR="00E725A0" w:rsidRPr="00E81555" w:rsidRDefault="00E725A0"/>
    <w:sectPr w:rsidR="00E725A0" w:rsidRPr="00E81555">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6DC" w:rsidRDefault="00E81555">
      <w:r>
        <w:separator/>
      </w:r>
    </w:p>
  </w:endnote>
  <w:endnote w:type="continuationSeparator" w:id="0">
    <w:p w:rsidR="00EB36DC" w:rsidRDefault="00E8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6DC" w:rsidRDefault="00E81555">
      <w:r>
        <w:separator/>
      </w:r>
    </w:p>
  </w:footnote>
  <w:footnote w:type="continuationSeparator" w:id="0">
    <w:p w:rsidR="00EB36DC" w:rsidRDefault="00E81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90475EE"/>
    <w:lvl w:ilvl="0" w:tplc="9E7EBE7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C16D896"/>
    <w:lvl w:ilvl="0" w:tplc="B2121198">
      <w:start w:val="1"/>
      <w:numFmt w:val="decimalEnclosedCircle"/>
      <w:lvlText w:val="%1"/>
      <w:lvlJc w:val="left"/>
      <w:pPr>
        <w:ind w:left="360" w:hanging="36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A0"/>
    <w:rsid w:val="00764D25"/>
    <w:rsid w:val="008D0AC7"/>
    <w:rsid w:val="00B51CCE"/>
    <w:rsid w:val="00E725A0"/>
    <w:rsid w:val="00E81555"/>
    <w:rsid w:val="00EB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6015A"/>
  <w15:docId w15:val="{CD6FE7EE-556B-4AEF-BBD7-E7290AF7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51CCE"/>
    <w:pPr>
      <w:tabs>
        <w:tab w:val="center" w:pos="4252"/>
        <w:tab w:val="right" w:pos="8504"/>
      </w:tabs>
      <w:snapToGrid w:val="0"/>
    </w:pPr>
  </w:style>
  <w:style w:type="character" w:customStyle="1" w:styleId="a8">
    <w:name w:val="ヘッダー (文字)"/>
    <w:basedOn w:val="a0"/>
    <w:link w:val="a7"/>
    <w:uiPriority w:val="99"/>
    <w:rsid w:val="00B51CCE"/>
  </w:style>
  <w:style w:type="paragraph" w:styleId="a9">
    <w:name w:val="footer"/>
    <w:basedOn w:val="a"/>
    <w:link w:val="aa"/>
    <w:uiPriority w:val="99"/>
    <w:unhideWhenUsed/>
    <w:rsid w:val="00B51CCE"/>
    <w:pPr>
      <w:tabs>
        <w:tab w:val="center" w:pos="4252"/>
        <w:tab w:val="right" w:pos="8504"/>
      </w:tabs>
      <w:snapToGrid w:val="0"/>
    </w:pPr>
  </w:style>
  <w:style w:type="character" w:customStyle="1" w:styleId="aa">
    <w:name w:val="フッター (文字)"/>
    <w:basedOn w:val="a0"/>
    <w:link w:val="a9"/>
    <w:uiPriority w:val="99"/>
    <w:rsid w:val="00B5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梶西　学</dc:creator>
  <cp:lastModifiedBy>仲谷　正太郎</cp:lastModifiedBy>
  <cp:revision>5</cp:revision>
  <dcterms:created xsi:type="dcterms:W3CDTF">2018-10-31T03:41:00Z</dcterms:created>
  <dcterms:modified xsi:type="dcterms:W3CDTF">2018-11-30T05:34:00Z</dcterms:modified>
</cp:coreProperties>
</file>