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2A02423" w:rsidR="00AE5B29" w:rsidRPr="00AE5B29" w:rsidRDefault="00AE5B29" w:rsidP="004576F7">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FC5020">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B54926"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64EAC063"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大阪府立吹田東高等学校</w:t>
            </w:r>
          </w:p>
        </w:tc>
      </w:tr>
      <w:tr w:rsidR="00B54926"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606C93A8"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キャリア教育の充実（生徒の希望する進路の実現）</w:t>
            </w:r>
          </w:p>
        </w:tc>
      </w:tr>
      <w:tr w:rsidR="00B54926"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90D45A6" w14:textId="77777777" w:rsidR="00B54926" w:rsidRPr="00C44457" w:rsidRDefault="00B54926" w:rsidP="00B54926">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①希望進路実現率の向上。国公立、難関私立大、看護医療系等の進学実績の向上。</w:t>
            </w:r>
          </w:p>
          <w:p w14:paraId="7D35BE67" w14:textId="77777777" w:rsidR="00B54926" w:rsidRPr="00C44457" w:rsidRDefault="00B54926" w:rsidP="00B54926">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②学校教育自己診断における該当項目の肯定率の向上。</w:t>
            </w:r>
          </w:p>
          <w:p w14:paraId="79939667" w14:textId="11D6721A" w:rsidR="00B54926" w:rsidRPr="00F44E48"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 xml:space="preserve">　③授業アンケートにおける生徒の興味・関心の深化の向上。</w:t>
            </w:r>
          </w:p>
        </w:tc>
      </w:tr>
      <w:tr w:rsidR="00B54926"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49C0D8DA" w:rsidR="00B54926" w:rsidRPr="00F44E48" w:rsidRDefault="00B54926" w:rsidP="00B54926">
            <w:pPr>
              <w:widowControl/>
              <w:spacing w:line="280" w:lineRule="exact"/>
              <w:ind w:leftChars="68" w:left="143"/>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bCs/>
                <w:kern w:val="0"/>
                <w:sz w:val="20"/>
                <w:szCs w:val="20"/>
              </w:rPr>
              <w:t>主体的に考え行動する力を育てる学校づくりプロジェクト</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B54926" w:rsidRPr="00AE5B29" w14:paraId="0CA774E6"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81F1F34"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新しい校舎を活かした組織的な教育活動を通して、主体的に考え行動する力を育てる。</w:t>
            </w:r>
          </w:p>
          <w:p w14:paraId="2CFCBA40"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１　「主体的・対話的で深い学び」を実現。授業形態の工夫やICT機器の効果的活用</w:t>
            </w:r>
          </w:p>
          <w:p w14:paraId="7681F11A" w14:textId="77777777" w:rsidR="00B54926"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一斉学習・個別学習・協働学習を組み合わせた授業形態の工夫を推進</w:t>
            </w:r>
          </w:p>
          <w:p w14:paraId="720B7A10"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２　高い志等をもてる学習支援・進路保障</w:t>
            </w:r>
          </w:p>
          <w:p w14:paraId="3D56AF53" w14:textId="77777777" w:rsidR="00B54926" w:rsidRDefault="00B54926" w:rsidP="00B54926">
            <w:pPr>
              <w:widowControl/>
              <w:spacing w:line="280" w:lineRule="exact"/>
              <w:ind w:leftChars="198" w:left="416" w:firstLine="1"/>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進路について自ら目標を立て実現に向かう力を育成。大学との連携や外部資源の積極的な活用を行う。</w:t>
            </w:r>
          </w:p>
          <w:p w14:paraId="4190D234"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３　豊かでたくましい人間性</w:t>
            </w:r>
          </w:p>
          <w:p w14:paraId="6BDCE091" w14:textId="77777777" w:rsidR="00B54926" w:rsidRDefault="00B54926" w:rsidP="00B54926">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グローバル化・情報化が加速度的に進展する社会で通用する人材を育成するため、３年間のLHRや総合的な探究の時間、国際理解教育を推進しながら、SDGsの視点も踏まえた問題発見能力・解決能力や思考力・判断力・表現力を育成する。</w:t>
            </w:r>
          </w:p>
          <w:p w14:paraId="13A0060D" w14:textId="77777777" w:rsidR="00B54926" w:rsidRDefault="00B54926" w:rsidP="00B54926">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 xml:space="preserve">５　人材育成　　</w:t>
            </w:r>
          </w:p>
          <w:p w14:paraId="034BC3E9" w14:textId="39C224EF" w:rsidR="00FC5020" w:rsidRPr="00F44E48" w:rsidRDefault="00B54926" w:rsidP="00FC5020">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働き方改革の推進を行い、教職員同士の対話を深める時間や、生徒と向き合う時間を増やす。</w:t>
            </w:r>
          </w:p>
        </w:tc>
      </w:tr>
      <w:tr w:rsidR="00B54926" w:rsidRPr="00AE5B29" w14:paraId="0FC45B31"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5C0931F" w14:textId="77777777" w:rsidR="00B54926" w:rsidRDefault="00B54926" w:rsidP="00B54926">
            <w:pPr>
              <w:widowControl/>
              <w:spacing w:line="280" w:lineRule="exact"/>
              <w:ind w:firstLineChars="100" w:firstLine="200"/>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本校の生徒は真面目で素直、大人の言うことをよく聞き、指示に従うことができることが強みである。一方、21世紀型スキルと言われる批判的思考力、意思決定力、コミュニケーション力に課題があり、強みを活かしつつ、これらの力を育てることが急務である。生徒の主体性を伸ばす取組みには、環境設備の充実に加えて、教員のスキルや時間的な余裕も必要となる。</w:t>
            </w:r>
          </w:p>
          <w:p w14:paraId="57D8F53C" w14:textId="77777777" w:rsidR="00B54926" w:rsidRDefault="00B54926" w:rsidP="00B54926">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①</w:t>
            </w:r>
            <w:r w:rsidRPr="00C44457">
              <w:rPr>
                <w:rFonts w:ascii="ＭＳ ゴシック" w:eastAsia="ＭＳ ゴシック" w:hAnsi="ＭＳ ゴシック" w:cs="ＭＳ Ｐゴシック" w:hint="eastAsia"/>
                <w:b/>
                <w:bCs/>
                <w:kern w:val="0"/>
                <w:sz w:val="20"/>
                <w:szCs w:val="20"/>
              </w:rPr>
              <w:t>「考える力やコミュニケーション力・発信力の伸長」</w:t>
            </w:r>
          </w:p>
          <w:p w14:paraId="3944EAFE" w14:textId="66EE3FC3"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全教員がChromebookを持ち、継続的な授業改善を実施する。すべての授業で、一斉・個別・協働を組み合わせた主体的・対話的な授業展開を行うことで生徒の批判的思考力・コミュニケーション力を伸ばす</w:t>
            </w:r>
          </w:p>
          <w:p w14:paraId="23F7F734" w14:textId="77777777" w:rsidR="00B54926" w:rsidRDefault="00B54926" w:rsidP="00B54926">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②</w:t>
            </w:r>
            <w:r w:rsidRPr="00C44457">
              <w:rPr>
                <w:rFonts w:ascii="ＭＳ ゴシック" w:eastAsia="ＭＳ ゴシック" w:hAnsi="ＭＳ ゴシック" w:cs="ＭＳ Ｐゴシック" w:hint="eastAsia"/>
                <w:b/>
                <w:bCs/>
                <w:kern w:val="0"/>
                <w:sz w:val="20"/>
                <w:szCs w:val="20"/>
              </w:rPr>
              <w:t>「教員の創造性・対話力の育成と集合知の結集」</w:t>
            </w:r>
          </w:p>
          <w:p w14:paraId="7AD35310" w14:textId="77777777"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生徒が主体的に考え行動する力を育てるためには、教員の創造性や対話力の育成に加え、時間的余裕も必要となる。　業務改善を行うことで、教員のスキルアップのための研修体制を確立し、集合知を結集させる。</w:t>
            </w:r>
          </w:p>
          <w:p w14:paraId="18269077" w14:textId="77777777" w:rsidR="00B54926" w:rsidRDefault="00B54926" w:rsidP="00B54926">
            <w:pPr>
              <w:widowControl/>
              <w:spacing w:line="280" w:lineRule="exac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③</w:t>
            </w:r>
            <w:r w:rsidRPr="00C44457">
              <w:rPr>
                <w:rFonts w:ascii="ＭＳ ゴシック" w:eastAsia="ＭＳ ゴシック" w:hAnsi="ＭＳ ゴシック" w:cs="ＭＳ Ｐゴシック" w:hint="eastAsia"/>
                <w:b/>
                <w:bCs/>
                <w:kern w:val="0"/>
                <w:sz w:val="20"/>
                <w:szCs w:val="20"/>
              </w:rPr>
              <w:t>「主体性を伸ばすPBLプログラムの開発、実施」</w:t>
            </w:r>
          </w:p>
          <w:p w14:paraId="1A80DE41" w14:textId="77777777" w:rsidR="00B54926"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上記①②を通してインタラクティブで機能的な授業を展開する。</w:t>
            </w:r>
          </w:p>
          <w:p w14:paraId="0968AD13" w14:textId="5D61EFE5" w:rsidR="00B54926" w:rsidRPr="00F44E48" w:rsidRDefault="00B54926" w:rsidP="00B54926">
            <w:pPr>
              <w:widowControl/>
              <w:spacing w:line="280" w:lineRule="exact"/>
              <w:ind w:leftChars="63" w:left="13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併せて</w:t>
            </w:r>
            <w:r w:rsidRPr="00C44457">
              <w:rPr>
                <w:rFonts w:ascii="ＭＳ ゴシック" w:eastAsia="ＭＳ ゴシック" w:hAnsi="ＭＳ ゴシック" w:cs="ＭＳ Ｐゴシック" w:hint="eastAsia"/>
                <w:kern w:val="0"/>
                <w:sz w:val="20"/>
                <w:szCs w:val="20"/>
              </w:rPr>
              <w:t>「答えの</w:t>
            </w:r>
            <w:r>
              <w:rPr>
                <w:rFonts w:ascii="ＭＳ ゴシック" w:eastAsia="ＭＳ ゴシック" w:hAnsi="ＭＳ ゴシック" w:cs="ＭＳ Ｐゴシック" w:hint="eastAsia"/>
                <w:kern w:val="0"/>
                <w:sz w:val="20"/>
                <w:szCs w:val="20"/>
              </w:rPr>
              <w:t>ない問いを解決する力」や「一人一人が輝くリーダーシップ」が求め</w:t>
            </w:r>
            <w:r w:rsidRPr="00C44457">
              <w:rPr>
                <w:rFonts w:ascii="ＭＳ ゴシック" w:eastAsia="ＭＳ ゴシック" w:hAnsi="ＭＳ ゴシック" w:cs="ＭＳ Ｐゴシック" w:hint="eastAsia"/>
                <w:kern w:val="0"/>
                <w:sz w:val="20"/>
                <w:szCs w:val="20"/>
              </w:rPr>
              <w:t>られる時代において、大学教育では定着しつつある「問題解決型学習</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PBL</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」の本校版を開発、実施。生徒・教員共に主体的に考え行動する学校づくりを実践する。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7A615F" w14:textId="5D11057D"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kern w:val="0"/>
                <w:sz w:val="20"/>
                <w:szCs w:val="20"/>
              </w:rPr>
              <w:t>Chromebook</w:t>
            </w:r>
            <w:r>
              <w:rPr>
                <w:rFonts w:ascii="ＭＳ ゴシック" w:eastAsia="ＭＳ ゴシック" w:hAnsi="ＭＳ ゴシック" w:cs="ＭＳ Ｐゴシック"/>
                <w:kern w:val="0"/>
                <w:sz w:val="20"/>
                <w:szCs w:val="20"/>
              </w:rPr>
              <w:tab/>
            </w:r>
            <w:r w:rsidRPr="00B54926">
              <w:rPr>
                <w:rFonts w:ascii="ＭＳ ゴシック" w:eastAsia="ＭＳ ゴシック" w:hAnsi="ＭＳ ゴシック" w:cs="ＭＳ Ｐゴシック"/>
                <w:kern w:val="0"/>
                <w:sz w:val="20"/>
                <w:szCs w:val="20"/>
              </w:rPr>
              <w:t>17台</w:t>
            </w:r>
          </w:p>
          <w:p w14:paraId="51F65898" w14:textId="6C8A72C2"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B54926">
              <w:rPr>
                <w:rFonts w:ascii="ＭＳ ゴシック" w:eastAsia="ＭＳ ゴシック" w:hAnsi="ＭＳ ゴシック" w:cs="ＭＳ Ｐゴシック" w:hint="eastAsia"/>
                <w:kern w:val="0"/>
                <w:sz w:val="20"/>
                <w:szCs w:val="20"/>
              </w:rPr>
              <w:t>移動式教卓</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p w14:paraId="72B1AC50" w14:textId="7C329D5E"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グループワーク</w:t>
            </w:r>
            <w:r w:rsidRPr="00B54926">
              <w:rPr>
                <w:rFonts w:ascii="ＭＳ ゴシック" w:eastAsia="ＭＳ ゴシック" w:hAnsi="ＭＳ ゴシック" w:cs="ＭＳ Ｐゴシック" w:hint="eastAsia"/>
                <w:kern w:val="0"/>
                <w:sz w:val="20"/>
                <w:szCs w:val="20"/>
              </w:rPr>
              <w:t>用</w:t>
            </w:r>
            <w:r>
              <w:rPr>
                <w:rFonts w:ascii="ＭＳ ゴシック" w:eastAsia="ＭＳ ゴシック" w:hAnsi="ＭＳ ゴシック" w:cs="ＭＳ Ｐゴシック" w:hint="eastAsia"/>
                <w:kern w:val="0"/>
                <w:sz w:val="20"/>
                <w:szCs w:val="20"/>
              </w:rPr>
              <w:t>デスク</w:t>
            </w:r>
            <w:r>
              <w:rPr>
                <w:rFonts w:ascii="ＭＳ ゴシック" w:eastAsia="ＭＳ ゴシック" w:hAnsi="ＭＳ ゴシック" w:cs="ＭＳ Ｐゴシック"/>
                <w:kern w:val="0"/>
                <w:sz w:val="20"/>
                <w:szCs w:val="20"/>
              </w:rPr>
              <w:tab/>
            </w:r>
            <w:r w:rsidRPr="00B54926">
              <w:rPr>
                <w:rFonts w:ascii="ＭＳ ゴシック" w:eastAsia="ＭＳ ゴシック" w:hAnsi="ＭＳ ゴシック" w:cs="ＭＳ Ｐゴシック"/>
                <w:kern w:val="0"/>
                <w:sz w:val="20"/>
                <w:szCs w:val="20"/>
              </w:rPr>
              <w:t>40台</w:t>
            </w:r>
          </w:p>
          <w:p w14:paraId="252C64E3" w14:textId="186C852F" w:rsidR="00B54926" w:rsidRPr="00B54926"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ビジネスプロジェクター</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p w14:paraId="73A58F93" w14:textId="408C7195" w:rsidR="00AE5B29" w:rsidRPr="00AE5B29" w:rsidRDefault="00B54926" w:rsidP="00B54926">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ホワイトボード</w:t>
            </w:r>
            <w:r w:rsidRPr="00B54926">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B54926">
              <w:rPr>
                <w:rFonts w:ascii="ＭＳ ゴシック" w:eastAsia="ＭＳ ゴシック" w:hAnsi="ＭＳ ゴシック" w:cs="ＭＳ Ｐゴシック"/>
                <w:kern w:val="0"/>
                <w:sz w:val="20"/>
                <w:szCs w:val="20"/>
              </w:rPr>
              <w:t>台</w:t>
            </w:r>
          </w:p>
        </w:tc>
      </w:tr>
      <w:tr w:rsidR="00B54926"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取組みの</w:t>
            </w:r>
          </w:p>
          <w:p w14:paraId="20254710"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F47476B" w14:textId="71AF384A" w:rsidR="00B54926" w:rsidRDefault="00B54926" w:rsidP="00B54926">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主</w:t>
            </w:r>
            <w:r w:rsidR="00993EBB">
              <w:rPr>
                <w:rFonts w:ascii="ＭＳ ゴシック" w:eastAsia="ＭＳ ゴシック" w:hAnsi="ＭＳ ゴシック" w:cs="ＭＳ Ｐゴシック" w:hint="eastAsia"/>
                <w:kern w:val="0"/>
                <w:sz w:val="20"/>
                <w:szCs w:val="20"/>
              </w:rPr>
              <w:t xml:space="preserve">　</w:t>
            </w:r>
            <w:r w:rsidRPr="00C44457">
              <w:rPr>
                <w:rFonts w:ascii="ＭＳ ゴシック" w:eastAsia="ＭＳ ゴシック" w:hAnsi="ＭＳ ゴシック" w:cs="ＭＳ Ｐゴシック" w:hint="eastAsia"/>
                <w:kern w:val="0"/>
                <w:sz w:val="20"/>
                <w:szCs w:val="20"/>
              </w:rPr>
              <w:t>担：</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校長・教頭・首席を中心に「GIGA　SCHOOL委員会」「総合探究委員会」「観点別学習評価委員会」の３つの委員会を関連付けながら進める。</w:t>
            </w:r>
          </w:p>
          <w:p w14:paraId="6BBCDCBD" w14:textId="0C8B98E2" w:rsidR="00B54926" w:rsidRPr="00F44E48" w:rsidRDefault="00B54926" w:rsidP="00B54926">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全教員</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3A0DC23" w14:textId="4DDB29FF" w:rsidR="00AE5B29" w:rsidRPr="007C1862" w:rsidRDefault="00222A95" w:rsidP="00222A95">
            <w:pPr>
              <w:widowControl/>
              <w:spacing w:line="280" w:lineRule="exact"/>
              <w:ind w:left="200" w:hangingChars="100" w:hanging="200"/>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年</w:t>
            </w:r>
            <w:r>
              <w:rPr>
                <w:rFonts w:ascii="ＭＳ ゴシック" w:eastAsia="ＭＳ ゴシック" w:hAnsi="ＭＳ ゴシック" w:cs="ＭＳ Ｐゴシック" w:hint="eastAsia"/>
                <w:kern w:val="0"/>
                <w:sz w:val="20"/>
                <w:szCs w:val="20"/>
              </w:rPr>
              <w:t>め</w:t>
            </w:r>
            <w:r w:rsidRPr="00222A95">
              <w:rPr>
                <w:rFonts w:ascii="ＭＳ ゴシック" w:eastAsia="ＭＳ ゴシック" w:hAnsi="ＭＳ ゴシック" w:cs="ＭＳ Ｐゴシック"/>
                <w:kern w:val="0"/>
                <w:sz w:val="20"/>
                <w:szCs w:val="20"/>
              </w:rPr>
              <w:t>に授業改善と教員討議を通して「吹田東高校生に必要なPBLプログラム」として「21世紀型リーダーシップ研修」を甲南女子大学・関連会社と課外授業として共同実施したものを、１年生の「総合的な探究の時間」内で全員実施。</w:t>
            </w:r>
          </w:p>
        </w:tc>
      </w:tr>
      <w:tr w:rsidR="00B54926" w:rsidRPr="00AE5B29" w14:paraId="58E45291"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B54926"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B54926" w:rsidRPr="00AE5B29" w:rsidRDefault="00B54926" w:rsidP="00B5492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0E23A4F" w14:textId="03DFA9D3" w:rsidR="00222A95" w:rsidRPr="00222A95" w:rsidRDefault="00222A95" w:rsidP="00222A9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 xml:space="preserve">①国公立大学及び関関同立・現役延べ合格者数　</w:t>
            </w:r>
            <w:r w:rsidRPr="00222A95">
              <w:rPr>
                <w:rFonts w:ascii="ＭＳ ゴシック" w:eastAsia="ＭＳ ゴシック" w:hAnsi="ＭＳ ゴシック" w:cs="ＭＳ Ｐゴシック"/>
                <w:kern w:val="0"/>
                <w:sz w:val="20"/>
                <w:szCs w:val="20"/>
              </w:rPr>
              <w:t>40名／</w:t>
            </w:r>
            <w:r w:rsidR="00FC5020">
              <w:rPr>
                <w:rFonts w:ascii="ＭＳ ゴシック" w:eastAsia="ＭＳ ゴシック" w:hAnsi="ＭＳ ゴシック" w:cs="ＭＳ Ｐゴシック" w:hint="eastAsia"/>
                <w:kern w:val="0"/>
                <w:sz w:val="20"/>
                <w:szCs w:val="20"/>
              </w:rPr>
              <w:t>28</w:t>
            </w:r>
            <w:r w:rsidRPr="00222A95">
              <w:rPr>
                <w:rFonts w:ascii="ＭＳ ゴシック" w:eastAsia="ＭＳ ゴシック" w:hAnsi="ＭＳ ゴシック" w:cs="ＭＳ Ｐゴシック"/>
                <w:kern w:val="0"/>
                <w:sz w:val="20"/>
                <w:szCs w:val="20"/>
              </w:rPr>
              <w:t>0名以上（</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222A95">
              <w:rPr>
                <w:rFonts w:ascii="ＭＳ ゴシック" w:eastAsia="ＭＳ ゴシック" w:hAnsi="ＭＳ ゴシック" w:cs="ＭＳ Ｐゴシック"/>
                <w:kern w:val="0"/>
                <w:sz w:val="20"/>
                <w:szCs w:val="20"/>
              </w:rPr>
              <w:t>入試：24名／</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入試：34名）</w:t>
            </w:r>
          </w:p>
          <w:p w14:paraId="21E39D87" w14:textId="43F5DB4D" w:rsidR="00222A95" w:rsidRPr="00222A95" w:rsidRDefault="00222A95" w:rsidP="00222A95">
            <w:pPr>
              <w:widowControl/>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②学校教育自己診断における授業満足度</w:t>
            </w:r>
            <w:r w:rsidRPr="00222A95">
              <w:rPr>
                <w:rFonts w:ascii="ＭＳ ゴシック" w:eastAsia="ＭＳ ゴシック" w:hAnsi="ＭＳ ゴシック" w:cs="ＭＳ Ｐゴシック"/>
                <w:kern w:val="0"/>
                <w:sz w:val="20"/>
                <w:szCs w:val="20"/>
              </w:rPr>
              <w:t>7</w:t>
            </w:r>
            <w:r w:rsidR="00FC5020">
              <w:rPr>
                <w:rFonts w:ascii="ＭＳ ゴシック" w:eastAsia="ＭＳ ゴシック" w:hAnsi="ＭＳ ゴシック" w:cs="ＭＳ Ｐゴシック" w:hint="eastAsia"/>
                <w:kern w:val="0"/>
                <w:sz w:val="20"/>
                <w:szCs w:val="20"/>
              </w:rPr>
              <w:t>5</w:t>
            </w:r>
            <w:r w:rsidRPr="00222A95">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：68.1％）</w:t>
            </w:r>
          </w:p>
          <w:p w14:paraId="341EF9B1" w14:textId="21202983" w:rsidR="00222A95" w:rsidRPr="00222A95" w:rsidRDefault="00222A95" w:rsidP="00222A9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③学校教育自己診断（教員）における「授業方法について検討する機会を積極的に持っている」の肯定率を</w:t>
            </w:r>
            <w:r w:rsidR="00FC5020">
              <w:rPr>
                <w:rFonts w:ascii="ＭＳ ゴシック" w:eastAsia="ＭＳ ゴシック" w:hAnsi="ＭＳ ゴシック" w:cs="ＭＳ Ｐゴシック" w:hint="eastAsia"/>
                <w:kern w:val="0"/>
                <w:sz w:val="20"/>
                <w:szCs w:val="20"/>
              </w:rPr>
              <w:t>90</w:t>
            </w:r>
            <w:r w:rsidRPr="00222A95">
              <w:rPr>
                <w:rFonts w:ascii="ＭＳ ゴシック" w:eastAsia="ＭＳ ゴシック" w:hAnsi="ＭＳ ゴシック" w:cs="ＭＳ Ｐゴシック"/>
                <w:kern w:val="0"/>
                <w:sz w:val="20"/>
                <w:szCs w:val="20"/>
              </w:rPr>
              <w:t>％、うち強い肯定を</w:t>
            </w:r>
            <w:r w:rsidR="00FC5020">
              <w:rPr>
                <w:rFonts w:ascii="ＭＳ ゴシック" w:eastAsia="ＭＳ ゴシック" w:hAnsi="ＭＳ ゴシック" w:cs="ＭＳ Ｐゴシック" w:hint="eastAsia"/>
                <w:kern w:val="0"/>
                <w:sz w:val="20"/>
                <w:szCs w:val="20"/>
              </w:rPr>
              <w:t>4</w:t>
            </w:r>
            <w:r w:rsidRPr="00222A95">
              <w:rPr>
                <w:rFonts w:ascii="ＭＳ ゴシック" w:eastAsia="ＭＳ ゴシック" w:hAnsi="ＭＳ ゴシック" w:cs="ＭＳ Ｐゴシック"/>
                <w:kern w:val="0"/>
                <w:sz w:val="20"/>
                <w:szCs w:val="20"/>
              </w:rPr>
              <w:t>0％以上（</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：76.7％／11.7％）にする。</w:t>
            </w:r>
          </w:p>
          <w:p w14:paraId="235DD73D" w14:textId="3A90761B" w:rsidR="00222A95" w:rsidRPr="00222A95" w:rsidRDefault="00222A95" w:rsidP="00222A95">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④授業アンケートで「授業に興味関心を持つことができた」の平均値を</w:t>
            </w:r>
            <w:r w:rsidRPr="00222A95">
              <w:rPr>
                <w:rFonts w:ascii="ＭＳ ゴシック" w:eastAsia="ＭＳ ゴシック" w:hAnsi="ＭＳ ゴシック" w:cs="ＭＳ Ｐゴシック"/>
                <w:kern w:val="0"/>
                <w:sz w:val="20"/>
                <w:szCs w:val="20"/>
              </w:rPr>
              <w:t>3.</w:t>
            </w:r>
            <w:r w:rsidR="00FC5020">
              <w:rPr>
                <w:rFonts w:ascii="ＭＳ ゴシック" w:eastAsia="ＭＳ ゴシック" w:hAnsi="ＭＳ ゴシック" w:cs="ＭＳ Ｐゴシック" w:hint="eastAsia"/>
                <w:kern w:val="0"/>
                <w:sz w:val="20"/>
                <w:szCs w:val="20"/>
              </w:rPr>
              <w:t>30</w:t>
            </w:r>
            <w:r w:rsidRPr="00222A95">
              <w:rPr>
                <w:rFonts w:ascii="ＭＳ ゴシック" w:eastAsia="ＭＳ ゴシック" w:hAnsi="ＭＳ ゴシック" w:cs="ＭＳ Ｐゴシック"/>
                <w:kern w:val="0"/>
                <w:sz w:val="20"/>
                <w:szCs w:val="20"/>
              </w:rPr>
              <w:t>以上（</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222A95">
              <w:rPr>
                <w:rFonts w:ascii="ＭＳ ゴシック" w:eastAsia="ＭＳ ゴシック" w:hAnsi="ＭＳ ゴシック" w:cs="ＭＳ Ｐゴシック"/>
                <w:kern w:val="0"/>
                <w:sz w:val="20"/>
                <w:szCs w:val="20"/>
              </w:rPr>
              <w:t>：3.10／</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22A95">
              <w:rPr>
                <w:rFonts w:ascii="ＭＳ ゴシック" w:eastAsia="ＭＳ ゴシック" w:hAnsi="ＭＳ ゴシック" w:cs="ＭＳ Ｐゴシック"/>
                <w:kern w:val="0"/>
                <w:sz w:val="20"/>
                <w:szCs w:val="20"/>
              </w:rPr>
              <w:t>：3.17）</w:t>
            </w:r>
          </w:p>
          <w:p w14:paraId="666557C0" w14:textId="330E1405" w:rsidR="00FC5020" w:rsidRPr="007C1862" w:rsidRDefault="00222A95" w:rsidP="00FC5020">
            <w:pPr>
              <w:widowControl/>
              <w:spacing w:line="280" w:lineRule="exact"/>
              <w:jc w:val="left"/>
              <w:rPr>
                <w:rFonts w:ascii="ＭＳ ゴシック" w:eastAsia="ＭＳ ゴシック" w:hAnsi="ＭＳ ゴシック" w:cs="ＭＳ Ｐゴシック"/>
                <w:kern w:val="0"/>
                <w:sz w:val="20"/>
                <w:szCs w:val="20"/>
              </w:rPr>
            </w:pPr>
            <w:r w:rsidRPr="00222A95">
              <w:rPr>
                <w:rFonts w:ascii="ＭＳ ゴシック" w:eastAsia="ＭＳ ゴシック" w:hAnsi="ＭＳ ゴシック" w:cs="ＭＳ Ｐゴシック" w:hint="eastAsia"/>
                <w:kern w:val="0"/>
                <w:sz w:val="20"/>
                <w:szCs w:val="20"/>
              </w:rPr>
              <w:t>⑤「主体的・対話的」な授業の実践率を</w:t>
            </w:r>
            <w:r w:rsidR="00FC5020">
              <w:rPr>
                <w:rFonts w:ascii="ＭＳ ゴシック" w:eastAsia="ＭＳ ゴシック" w:hAnsi="ＭＳ ゴシック" w:cs="ＭＳ Ｐゴシック" w:hint="eastAsia"/>
                <w:kern w:val="0"/>
                <w:sz w:val="20"/>
                <w:szCs w:val="20"/>
              </w:rPr>
              <w:t>10</w:t>
            </w:r>
            <w:r w:rsidRPr="00222A95">
              <w:rPr>
                <w:rFonts w:ascii="ＭＳ ゴシック" w:eastAsia="ＭＳ ゴシック" w:hAnsi="ＭＳ ゴシック" w:cs="ＭＳ Ｐゴシック"/>
                <w:kern w:val="0"/>
                <w:sz w:val="20"/>
                <w:szCs w:val="20"/>
              </w:rPr>
              <w:t>0％以上にする。</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9939610" w14:textId="6B2A03E7" w:rsidR="00FC5020" w:rsidRPr="00FC5020" w:rsidRDefault="00FC5020" w:rsidP="00FC5020">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 xml:space="preserve">①国公立大学及び関関同立・現役延べ合格者数　</w:t>
            </w:r>
            <w:r w:rsidRPr="00FC5020">
              <w:rPr>
                <w:rFonts w:ascii="ＭＳ ゴシック" w:eastAsia="ＭＳ ゴシック" w:hAnsi="ＭＳ ゴシック" w:cs="ＭＳ Ｐゴシック"/>
                <w:kern w:val="0"/>
                <w:sz w:val="20"/>
                <w:szCs w:val="20"/>
              </w:rPr>
              <w:t>25名／268名</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7DF0A4FF" w14:textId="78E4CD7E" w:rsidR="00FC5020" w:rsidRPr="00FC5020" w:rsidRDefault="00FC5020" w:rsidP="00FC5020">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 xml:space="preserve">②学校教育自己診断における授業満足度　</w:t>
            </w:r>
            <w:r w:rsidRPr="00FC5020">
              <w:rPr>
                <w:rFonts w:ascii="ＭＳ ゴシック" w:eastAsia="ＭＳ ゴシック" w:hAnsi="ＭＳ ゴシック" w:cs="ＭＳ Ｐゴシック"/>
                <w:kern w:val="0"/>
                <w:sz w:val="20"/>
                <w:szCs w:val="20"/>
              </w:rPr>
              <w:t>74.3％</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C502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2243EB4E" w14:textId="22A6C716" w:rsidR="00FC5020" w:rsidRDefault="00FC5020" w:rsidP="00FC5020">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③学校教育自己診断（教員）における「授業方法について検討する機会を積極的に持っている」の肯定率</w:t>
            </w:r>
            <w:r w:rsidRPr="00FC5020">
              <w:rPr>
                <w:rFonts w:ascii="ＭＳ ゴシック" w:eastAsia="ＭＳ ゴシック" w:hAnsi="ＭＳ ゴシック" w:cs="ＭＳ Ｐゴシック"/>
                <w:kern w:val="0"/>
                <w:sz w:val="20"/>
                <w:szCs w:val="20"/>
              </w:rPr>
              <w:t>92.7％</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C502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13F6CBE4" w14:textId="590D495A" w:rsidR="00FC5020" w:rsidRPr="00FC5020" w:rsidRDefault="00FC5020" w:rsidP="00FC5020">
            <w:pPr>
              <w:widowControl/>
              <w:tabs>
                <w:tab w:val="right" w:leader="middleDot" w:pos="8221"/>
              </w:tabs>
              <w:spacing w:line="280" w:lineRule="exact"/>
              <w:ind w:leftChars="100" w:left="21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その内、</w:t>
            </w:r>
            <w:r w:rsidRPr="00FC5020">
              <w:rPr>
                <w:rFonts w:ascii="ＭＳ ゴシック" w:eastAsia="ＭＳ ゴシック" w:hAnsi="ＭＳ ゴシック" w:cs="ＭＳ Ｐゴシック"/>
                <w:kern w:val="0"/>
                <w:sz w:val="20"/>
                <w:szCs w:val="20"/>
              </w:rPr>
              <w:t>強い肯定30.9％</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C502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7DF8AA0A" w14:textId="1854D75C" w:rsidR="00FC5020" w:rsidRPr="00FC5020" w:rsidRDefault="00FC5020" w:rsidP="00FC5020">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 xml:space="preserve">④授業アンケートで「授業に興味関心を持つことができた」の平均値　</w:t>
            </w:r>
            <w:r w:rsidRPr="00FC5020">
              <w:rPr>
                <w:rFonts w:ascii="ＭＳ ゴシック" w:eastAsia="ＭＳ ゴシック" w:hAnsi="ＭＳ ゴシック" w:cs="ＭＳ Ｐゴシック"/>
                <w:kern w:val="0"/>
                <w:sz w:val="20"/>
                <w:szCs w:val="20"/>
              </w:rPr>
              <w:t>3.25</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C502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4CBB3DF3" w14:textId="33067D4E" w:rsidR="00FC5020" w:rsidRPr="007C1862" w:rsidRDefault="00FC5020" w:rsidP="00FC5020">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⑤具体的にグループワークや双方向のやり取り、調べ学習などを行っている教員数はほぼ全員であるが、授業の総数としては満たなかった。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C502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61E197EB" w:rsidR="00AE5B29" w:rsidRPr="00AE5B29" w:rsidRDefault="00FC5020"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351D8D7" w14:textId="2F508922" w:rsidR="00FC5020" w:rsidRPr="00FC5020" w:rsidRDefault="00FC5020" w:rsidP="00FC5020">
            <w:pPr>
              <w:widowControl/>
              <w:spacing w:line="280" w:lineRule="exact"/>
              <w:ind w:left="200" w:hangingChars="100" w:hanging="200"/>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kern w:val="0"/>
                <w:sz w:val="20"/>
                <w:szCs w:val="20"/>
              </w:rPr>
              <w:t>・数値目標に関しては</w:t>
            </w:r>
            <w:r w:rsidR="0002325C">
              <w:rPr>
                <w:rFonts w:ascii="ＭＳ ゴシック" w:eastAsia="ＭＳ ゴシック" w:hAnsi="ＭＳ ゴシック" w:cs="ＭＳ Ｐゴシック" w:hint="eastAsia"/>
                <w:kern w:val="0"/>
                <w:sz w:val="20"/>
                <w:szCs w:val="20"/>
              </w:rPr>
              <w:t>２</w:t>
            </w:r>
            <w:r w:rsidRPr="00FC5020">
              <w:rPr>
                <w:rFonts w:ascii="ＭＳ ゴシック" w:eastAsia="ＭＳ ゴシック" w:hAnsi="ＭＳ ゴシック" w:cs="ＭＳ Ｐゴシック"/>
                <w:kern w:val="0"/>
                <w:sz w:val="20"/>
                <w:szCs w:val="20"/>
              </w:rPr>
              <w:t>年</w:t>
            </w:r>
            <w:r w:rsidR="0002325C">
              <w:rPr>
                <w:rFonts w:ascii="ＭＳ ゴシック" w:eastAsia="ＭＳ ゴシック" w:hAnsi="ＭＳ ゴシック" w:cs="ＭＳ Ｐゴシック" w:hint="eastAsia"/>
                <w:kern w:val="0"/>
                <w:sz w:val="20"/>
                <w:szCs w:val="20"/>
              </w:rPr>
              <w:t>め</w:t>
            </w:r>
            <w:r w:rsidRPr="00FC5020">
              <w:rPr>
                <w:rFonts w:ascii="ＭＳ ゴシック" w:eastAsia="ＭＳ ゴシック" w:hAnsi="ＭＳ ゴシック" w:cs="ＭＳ Ｐゴシック"/>
                <w:kern w:val="0"/>
                <w:sz w:val="20"/>
                <w:szCs w:val="20"/>
              </w:rPr>
              <w:t>までは達成できている部分が多かったが、</w:t>
            </w:r>
            <w:r w:rsidR="0002325C">
              <w:rPr>
                <w:rFonts w:ascii="ＭＳ ゴシック" w:eastAsia="ＭＳ ゴシック" w:hAnsi="ＭＳ ゴシック" w:cs="ＭＳ Ｐゴシック" w:hint="eastAsia"/>
                <w:kern w:val="0"/>
                <w:sz w:val="20"/>
                <w:szCs w:val="20"/>
              </w:rPr>
              <w:t>３</w:t>
            </w:r>
            <w:r w:rsidRPr="00FC5020">
              <w:rPr>
                <w:rFonts w:ascii="ＭＳ ゴシック" w:eastAsia="ＭＳ ゴシック" w:hAnsi="ＭＳ ゴシック" w:cs="ＭＳ Ｐゴシック"/>
                <w:kern w:val="0"/>
                <w:sz w:val="20"/>
                <w:szCs w:val="20"/>
              </w:rPr>
              <w:t>年</w:t>
            </w:r>
            <w:r w:rsidR="0002325C">
              <w:rPr>
                <w:rFonts w:ascii="ＭＳ ゴシック" w:eastAsia="ＭＳ ゴシック" w:hAnsi="ＭＳ ゴシック" w:cs="ＭＳ Ｐゴシック" w:hint="eastAsia"/>
                <w:kern w:val="0"/>
                <w:sz w:val="20"/>
                <w:szCs w:val="20"/>
              </w:rPr>
              <w:t>め</w:t>
            </w:r>
            <w:r w:rsidRPr="00FC5020">
              <w:rPr>
                <w:rFonts w:ascii="ＭＳ ゴシック" w:eastAsia="ＭＳ ゴシック" w:hAnsi="ＭＳ ゴシック" w:cs="ＭＳ Ｐゴシック"/>
                <w:kern w:val="0"/>
                <w:sz w:val="20"/>
                <w:szCs w:val="20"/>
              </w:rPr>
              <w:t>は未達項目が多くなった。元々の目標が</w:t>
            </w:r>
            <w:r w:rsidR="0002325C">
              <w:rPr>
                <w:rFonts w:ascii="ＭＳ ゴシック" w:eastAsia="ＭＳ ゴシック" w:hAnsi="ＭＳ ゴシック" w:cs="ＭＳ Ｐゴシック" w:hint="eastAsia"/>
                <w:kern w:val="0"/>
                <w:sz w:val="20"/>
                <w:szCs w:val="20"/>
              </w:rPr>
              <w:t>１年</w:t>
            </w:r>
            <w:r w:rsidRPr="00FC5020">
              <w:rPr>
                <w:rFonts w:ascii="ＭＳ ゴシック" w:eastAsia="ＭＳ ゴシック" w:hAnsi="ＭＳ ゴシック" w:cs="ＭＳ Ｐゴシック"/>
                <w:kern w:val="0"/>
                <w:sz w:val="20"/>
                <w:szCs w:val="20"/>
              </w:rPr>
              <w:t>⇒２</w:t>
            </w:r>
            <w:r w:rsidR="0002325C">
              <w:rPr>
                <w:rFonts w:ascii="ＭＳ ゴシック" w:eastAsia="ＭＳ ゴシック" w:hAnsi="ＭＳ ゴシック" w:cs="ＭＳ Ｐゴシック" w:hint="eastAsia"/>
                <w:kern w:val="0"/>
                <w:sz w:val="20"/>
                <w:szCs w:val="20"/>
              </w:rPr>
              <w:t>年</w:t>
            </w:r>
            <w:r w:rsidRPr="00FC5020">
              <w:rPr>
                <w:rFonts w:ascii="ＭＳ ゴシック" w:eastAsia="ＭＳ ゴシック" w:hAnsi="ＭＳ ゴシック" w:cs="ＭＳ Ｐゴシック"/>
                <w:kern w:val="0"/>
                <w:sz w:val="20"/>
                <w:szCs w:val="20"/>
              </w:rPr>
              <w:t>⇒３年と大きく上がっていくように立てていたため、</w:t>
            </w:r>
            <w:r w:rsidR="0002325C">
              <w:rPr>
                <w:rFonts w:ascii="ＭＳ ゴシック" w:eastAsia="ＭＳ ゴシック" w:hAnsi="ＭＳ ゴシック" w:cs="ＭＳ Ｐゴシック" w:hint="eastAsia"/>
                <w:kern w:val="0"/>
                <w:sz w:val="20"/>
                <w:szCs w:val="20"/>
              </w:rPr>
              <w:t>２</w:t>
            </w:r>
            <w:r w:rsidRPr="00FC5020">
              <w:rPr>
                <w:rFonts w:ascii="ＭＳ ゴシック" w:eastAsia="ＭＳ ゴシック" w:hAnsi="ＭＳ ゴシック" w:cs="ＭＳ Ｐゴシック"/>
                <w:kern w:val="0"/>
                <w:sz w:val="20"/>
                <w:szCs w:val="20"/>
              </w:rPr>
              <w:t>年</w:t>
            </w:r>
            <w:r w:rsidR="0002325C">
              <w:rPr>
                <w:rFonts w:ascii="ＭＳ ゴシック" w:eastAsia="ＭＳ ゴシック" w:hAnsi="ＭＳ ゴシック" w:cs="ＭＳ Ｐゴシック" w:hint="eastAsia"/>
                <w:kern w:val="0"/>
                <w:sz w:val="20"/>
                <w:szCs w:val="20"/>
              </w:rPr>
              <w:t>め</w:t>
            </w:r>
            <w:r w:rsidRPr="00FC5020">
              <w:rPr>
                <w:rFonts w:ascii="ＭＳ ゴシック" w:eastAsia="ＭＳ ゴシック" w:hAnsi="ＭＳ ゴシック" w:cs="ＭＳ Ｐゴシック"/>
                <w:kern w:val="0"/>
                <w:sz w:val="20"/>
                <w:szCs w:val="20"/>
              </w:rPr>
              <w:t>まではその上昇目標に追いつけていたが、</w:t>
            </w:r>
            <w:r w:rsidR="0002325C">
              <w:rPr>
                <w:rFonts w:ascii="ＭＳ ゴシック" w:eastAsia="ＭＳ ゴシック" w:hAnsi="ＭＳ ゴシック" w:cs="ＭＳ Ｐゴシック" w:hint="eastAsia"/>
                <w:kern w:val="0"/>
                <w:sz w:val="20"/>
                <w:szCs w:val="20"/>
              </w:rPr>
              <w:t>３</w:t>
            </w:r>
            <w:r w:rsidRPr="00FC5020">
              <w:rPr>
                <w:rFonts w:ascii="ＭＳ ゴシック" w:eastAsia="ＭＳ ゴシック" w:hAnsi="ＭＳ ゴシック" w:cs="ＭＳ Ｐゴシック"/>
                <w:kern w:val="0"/>
                <w:sz w:val="20"/>
                <w:szCs w:val="20"/>
              </w:rPr>
              <w:t>年</w:t>
            </w:r>
            <w:r w:rsidR="0002325C">
              <w:rPr>
                <w:rFonts w:ascii="ＭＳ ゴシック" w:eastAsia="ＭＳ ゴシック" w:hAnsi="ＭＳ ゴシック" w:cs="ＭＳ Ｐゴシック" w:hint="eastAsia"/>
                <w:kern w:val="0"/>
                <w:sz w:val="20"/>
                <w:szCs w:val="20"/>
              </w:rPr>
              <w:t>め</w:t>
            </w:r>
            <w:r w:rsidRPr="00FC5020">
              <w:rPr>
                <w:rFonts w:ascii="ＭＳ ゴシック" w:eastAsia="ＭＳ ゴシック" w:hAnsi="ＭＳ ゴシック" w:cs="ＭＳ Ｐゴシック"/>
                <w:kern w:val="0"/>
                <w:sz w:val="20"/>
                <w:szCs w:val="20"/>
              </w:rPr>
              <w:t>はさらなる上昇までに至らなかったことがあげられる。進学実績や授業満足度に関しては、実際に</w:t>
            </w:r>
            <w:r w:rsidR="0002325C">
              <w:rPr>
                <w:rFonts w:ascii="ＭＳ ゴシック" w:eastAsia="ＭＳ ゴシック" w:hAnsi="ＭＳ ゴシック" w:cs="ＭＳ Ｐゴシック" w:hint="eastAsia"/>
                <w:kern w:val="0"/>
                <w:sz w:val="20"/>
                <w:szCs w:val="20"/>
              </w:rPr>
              <w:t>３</w:t>
            </w:r>
            <w:r w:rsidRPr="00FC5020">
              <w:rPr>
                <w:rFonts w:ascii="ＭＳ ゴシック" w:eastAsia="ＭＳ ゴシック" w:hAnsi="ＭＳ ゴシック" w:cs="ＭＳ Ｐゴシック"/>
                <w:kern w:val="0"/>
                <w:sz w:val="20"/>
                <w:szCs w:val="20"/>
              </w:rPr>
              <w:t>年</w:t>
            </w:r>
            <w:r w:rsidR="0002325C">
              <w:rPr>
                <w:rFonts w:ascii="ＭＳ ゴシック" w:eastAsia="ＭＳ ゴシック" w:hAnsi="ＭＳ ゴシック" w:cs="ＭＳ Ｐゴシック" w:hint="eastAsia"/>
                <w:kern w:val="0"/>
                <w:sz w:val="20"/>
                <w:szCs w:val="20"/>
              </w:rPr>
              <w:t>め</w:t>
            </w:r>
            <w:r w:rsidRPr="00FC5020">
              <w:rPr>
                <w:rFonts w:ascii="ＭＳ ゴシック" w:eastAsia="ＭＳ ゴシック" w:hAnsi="ＭＳ ゴシック" w:cs="ＭＳ Ｐゴシック"/>
                <w:kern w:val="0"/>
                <w:sz w:val="20"/>
                <w:szCs w:val="20"/>
              </w:rPr>
              <w:t>の数値がやや下がった部分も見られた。</w:t>
            </w:r>
          </w:p>
          <w:p w14:paraId="05F896D6" w14:textId="77777777" w:rsidR="00FC5020" w:rsidRPr="00FC5020" w:rsidRDefault="00FC5020" w:rsidP="00FC5020">
            <w:pPr>
              <w:widowControl/>
              <w:spacing w:line="280" w:lineRule="exact"/>
              <w:ind w:left="200" w:hangingChars="100" w:hanging="200"/>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・しかしながら、本事業を通じて校内公開授業を促進し、生徒と教員が</w:t>
            </w:r>
            <w:r w:rsidRPr="00FC5020">
              <w:rPr>
                <w:rFonts w:ascii="ＭＳ ゴシック" w:eastAsia="ＭＳ ゴシック" w:hAnsi="ＭＳ ゴシック" w:cs="ＭＳ Ｐゴシック"/>
                <w:kern w:val="0"/>
                <w:sz w:val="20"/>
                <w:szCs w:val="20"/>
              </w:rPr>
              <w:t>ICTを活用することにより、双方向型の対話を通して生徒が主体的に学び表現できる授業が増加した。同時に大阪府のLGH事業アドバンス校になったこともこの動きを加速した。</w:t>
            </w:r>
          </w:p>
          <w:p w14:paraId="11C26CCB" w14:textId="14C40B3E" w:rsidR="00AE5B29" w:rsidRPr="00FC5020" w:rsidRDefault="00FC5020" w:rsidP="00FC5020">
            <w:pPr>
              <w:widowControl/>
              <w:spacing w:line="280" w:lineRule="exact"/>
              <w:ind w:left="200" w:hangingChars="100" w:hanging="200"/>
              <w:rPr>
                <w:rFonts w:ascii="ＭＳ ゴシック" w:eastAsia="ＭＳ ゴシック" w:hAnsi="ＭＳ ゴシック" w:cs="ＭＳ Ｐゴシック"/>
                <w:kern w:val="0"/>
                <w:sz w:val="20"/>
                <w:szCs w:val="20"/>
              </w:rPr>
            </w:pPr>
            <w:r w:rsidRPr="00FC5020">
              <w:rPr>
                <w:rFonts w:ascii="ＭＳ ゴシック" w:eastAsia="ＭＳ ゴシック" w:hAnsi="ＭＳ ゴシック" w:cs="ＭＳ Ｐゴシック" w:hint="eastAsia"/>
                <w:kern w:val="0"/>
                <w:sz w:val="20"/>
                <w:szCs w:val="20"/>
              </w:rPr>
              <w:t>・１年生の生徒全員に「</w:t>
            </w:r>
            <w:r w:rsidRPr="00FC5020">
              <w:rPr>
                <w:rFonts w:ascii="ＭＳ ゴシック" w:eastAsia="ＭＳ ゴシック" w:hAnsi="ＭＳ ゴシック" w:cs="ＭＳ Ｐゴシック"/>
                <w:kern w:val="0"/>
                <w:sz w:val="20"/>
                <w:szCs w:val="20"/>
              </w:rPr>
              <w:t>21世紀型リーダーシップ研修」を総合的な探究の時間において甲南女子大学・関連会社と共同実施している。各クラスに甲南女子大学生に</w:t>
            </w:r>
            <w:r w:rsidR="00F54FFF">
              <w:rPr>
                <w:rFonts w:ascii="ＭＳ ゴシック" w:eastAsia="ＭＳ ゴシック" w:hAnsi="ＭＳ ゴシック" w:cs="ＭＳ Ｐゴシック" w:hint="eastAsia"/>
                <w:kern w:val="0"/>
                <w:sz w:val="20"/>
                <w:szCs w:val="20"/>
              </w:rPr>
              <w:t>７～８</w:t>
            </w:r>
            <w:r w:rsidRPr="00FC5020">
              <w:rPr>
                <w:rFonts w:ascii="ＭＳ ゴシック" w:eastAsia="ＭＳ ゴシック" w:hAnsi="ＭＳ ゴシック" w:cs="ＭＳ Ｐゴシック"/>
                <w:kern w:val="0"/>
                <w:sz w:val="20"/>
                <w:szCs w:val="20"/>
              </w:rPr>
              <w:t>回授業を行うLA</w:t>
            </w:r>
            <w:r w:rsidR="00F54FFF">
              <w:rPr>
                <w:rFonts w:ascii="ＭＳ ゴシック" w:eastAsia="ＭＳ ゴシック" w:hAnsi="ＭＳ ゴシック" w:cs="ＭＳ Ｐゴシック" w:hint="eastAsia"/>
                <w:kern w:val="0"/>
                <w:sz w:val="20"/>
                <w:szCs w:val="20"/>
              </w:rPr>
              <w:t>（ラーニングアシスタント）</w:t>
            </w:r>
            <w:r w:rsidRPr="00FC5020">
              <w:rPr>
                <w:rFonts w:ascii="ＭＳ ゴシック" w:eastAsia="ＭＳ ゴシック" w:hAnsi="ＭＳ ゴシック" w:cs="ＭＳ Ｐゴシック"/>
                <w:kern w:val="0"/>
                <w:sz w:val="20"/>
                <w:szCs w:val="20"/>
              </w:rPr>
              <w:t>として来校いただいているのは高大連携の新たな形でもあり、生徒の変容も見られており、大きな成果が出せたと考えている。</w:t>
            </w:r>
          </w:p>
        </w:tc>
      </w:tr>
    </w:tbl>
    <w:p w14:paraId="068AEA2B" w14:textId="7634D2FF" w:rsidR="00962026" w:rsidRDefault="00962026">
      <w:pPr>
        <w:widowControl/>
        <w:jc w:val="left"/>
      </w:pPr>
    </w:p>
    <w:p w14:paraId="2DE2388C" w14:textId="1C32A021" w:rsidR="00962026" w:rsidRDefault="00962026" w:rsidP="001272A5">
      <w:r>
        <w:rPr>
          <w:rFonts w:ascii="Meiryo UI" w:eastAsia="Meiryo UI" w:hAnsi="Meiryo UI" w:cs="ＭＳ Ｐゴシック" w:hint="eastAsia"/>
          <w:b/>
          <w:bCs/>
          <w:kern w:val="0"/>
          <w:sz w:val="20"/>
          <w:szCs w:val="20"/>
        </w:rPr>
        <w:t>３</w:t>
      </w:r>
      <w:r w:rsidRPr="00AE5B29">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4AEE8295" w14:textId="483A7D60" w:rsidR="00962026" w:rsidRPr="00962026" w:rsidRDefault="00962026" w:rsidP="001272A5">
      <w:r w:rsidRPr="00962026">
        <w:rPr>
          <w:rFonts w:hint="eastAsia"/>
          <w:noProof/>
        </w:rPr>
        <w:drawing>
          <wp:inline distT="0" distB="0" distL="0" distR="0" wp14:anchorId="4EFC84DB" wp14:editId="7C7253B1">
            <wp:extent cx="6479540" cy="15582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558290"/>
                    </a:xfrm>
                    <a:prstGeom prst="rect">
                      <a:avLst/>
                    </a:prstGeom>
                    <a:noFill/>
                    <a:ln>
                      <a:noFill/>
                    </a:ln>
                  </pic:spPr>
                </pic:pic>
              </a:graphicData>
            </a:graphic>
          </wp:inline>
        </w:drawing>
      </w:r>
    </w:p>
    <w:sectPr w:rsidR="00962026" w:rsidRPr="00962026"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2325C"/>
    <w:rsid w:val="0006484F"/>
    <w:rsid w:val="00116FB8"/>
    <w:rsid w:val="001272A5"/>
    <w:rsid w:val="00135FDA"/>
    <w:rsid w:val="0014205B"/>
    <w:rsid w:val="00156336"/>
    <w:rsid w:val="00164705"/>
    <w:rsid w:val="0019143F"/>
    <w:rsid w:val="00222A95"/>
    <w:rsid w:val="004576F7"/>
    <w:rsid w:val="004A17E3"/>
    <w:rsid w:val="004E3416"/>
    <w:rsid w:val="0053074F"/>
    <w:rsid w:val="006F5EE5"/>
    <w:rsid w:val="007B77A1"/>
    <w:rsid w:val="007C1862"/>
    <w:rsid w:val="0085437A"/>
    <w:rsid w:val="00886642"/>
    <w:rsid w:val="008C7CA9"/>
    <w:rsid w:val="00962026"/>
    <w:rsid w:val="00993EBB"/>
    <w:rsid w:val="00A561DD"/>
    <w:rsid w:val="00A56C67"/>
    <w:rsid w:val="00AE5B29"/>
    <w:rsid w:val="00B5335A"/>
    <w:rsid w:val="00B54926"/>
    <w:rsid w:val="00B84DC1"/>
    <w:rsid w:val="00CC6DF6"/>
    <w:rsid w:val="00D161C9"/>
    <w:rsid w:val="00F54FFF"/>
    <w:rsid w:val="00F60A3C"/>
    <w:rsid w:val="00FC5020"/>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 w:type="paragraph" w:styleId="a8">
    <w:name w:val="Balloon Text"/>
    <w:basedOn w:val="a"/>
    <w:link w:val="a9"/>
    <w:uiPriority w:val="99"/>
    <w:semiHidden/>
    <w:unhideWhenUsed/>
    <w:rsid w:val="001563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3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1756">
      <w:bodyDiv w:val="1"/>
      <w:marLeft w:val="0"/>
      <w:marRight w:val="0"/>
      <w:marTop w:val="0"/>
      <w:marBottom w:val="0"/>
      <w:divBdr>
        <w:top w:val="none" w:sz="0" w:space="0" w:color="auto"/>
        <w:left w:val="none" w:sz="0" w:space="0" w:color="auto"/>
        <w:bottom w:val="none" w:sz="0" w:space="0" w:color="auto"/>
        <w:right w:val="none" w:sz="0" w:space="0" w:color="auto"/>
      </w:divBdr>
    </w:div>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14</cp:revision>
  <cp:lastPrinted>2024-06-12T02:26:00Z</cp:lastPrinted>
  <dcterms:created xsi:type="dcterms:W3CDTF">2022-11-12T02:55:00Z</dcterms:created>
  <dcterms:modified xsi:type="dcterms:W3CDTF">2024-07-02T02:45:00Z</dcterms:modified>
</cp:coreProperties>
</file>