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1210"/>
        <w:gridCol w:w="8426"/>
      </w:tblGrid>
      <w:tr w:rsidR="00CD109D" w:rsidRPr="00CD109D" w:rsidTr="00CD109D">
        <w:trPr>
          <w:trHeight w:val="315"/>
        </w:trPr>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b/>
                <w:bCs/>
                <w:kern w:val="0"/>
                <w:sz w:val="28"/>
                <w:szCs w:val="28"/>
                <w:u w:val="single"/>
              </w:rPr>
            </w:pPr>
            <w:bookmarkStart w:id="0" w:name="RANGE!A1:X18"/>
            <w:r w:rsidRPr="00CD109D">
              <w:rPr>
                <w:rFonts w:ascii="Meiryo UI" w:eastAsia="Meiryo UI" w:hAnsi="Meiryo UI" w:cs="ＭＳ Ｐゴシック" w:hint="eastAsia"/>
                <w:b/>
                <w:bCs/>
                <w:kern w:val="0"/>
                <w:sz w:val="28"/>
                <w:szCs w:val="28"/>
                <w:u w:val="single"/>
              </w:rPr>
              <w:t xml:space="preserve">学校経営推進費　事業計画書 </w:t>
            </w:r>
            <w:bookmarkEnd w:id="0"/>
          </w:p>
        </w:tc>
      </w:tr>
      <w:tr w:rsidR="00CD109D" w:rsidRPr="00CD109D" w:rsidTr="00CD109D">
        <w:trPr>
          <w:trHeight w:val="315"/>
        </w:trPr>
        <w:tc>
          <w:tcPr>
            <w:tcW w:w="10206"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１．事業計画の概要</w:t>
            </w:r>
          </w:p>
        </w:tc>
      </w:tr>
      <w:tr w:rsidR="00CD109D" w:rsidRPr="00CD109D" w:rsidTr="00634519">
        <w:trPr>
          <w:trHeight w:val="315"/>
        </w:trPr>
        <w:tc>
          <w:tcPr>
            <w:tcW w:w="1780" w:type="dxa"/>
            <w:gridSpan w:val="2"/>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学校名</w:t>
            </w:r>
          </w:p>
        </w:tc>
        <w:tc>
          <w:tcPr>
            <w:tcW w:w="8426"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ind w:leftChars="96" w:left="202"/>
              <w:jc w:val="left"/>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大阪府立とりかい高等支援学校</w:t>
            </w:r>
          </w:p>
        </w:tc>
      </w:tr>
      <w:tr w:rsidR="00CD109D" w:rsidRPr="00CD109D" w:rsidTr="00634519">
        <w:trPr>
          <w:trHeight w:val="315"/>
        </w:trPr>
        <w:tc>
          <w:tcPr>
            <w:tcW w:w="1780" w:type="dxa"/>
            <w:gridSpan w:val="2"/>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取り組む課題</w:t>
            </w:r>
          </w:p>
        </w:tc>
        <w:tc>
          <w:tcPr>
            <w:tcW w:w="8426"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ind w:leftChars="96" w:left="202"/>
              <w:jc w:val="left"/>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生徒の自立を支える教育の充実</w:t>
            </w:r>
          </w:p>
        </w:tc>
      </w:tr>
      <w:tr w:rsidR="00CD109D" w:rsidRPr="00CD109D" w:rsidTr="00634519">
        <w:trPr>
          <w:trHeight w:val="315"/>
        </w:trPr>
        <w:tc>
          <w:tcPr>
            <w:tcW w:w="1780" w:type="dxa"/>
            <w:gridSpan w:val="2"/>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評価指標</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ind w:leftChars="-39" w:left="768" w:hangingChars="425" w:hanging="85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（１）ICT機器を活用した「主体的で対話的な深い学び」を軸にした指導力・授業力の向上</w:t>
            </w:r>
          </w:p>
          <w:p w:rsidR="00CD109D" w:rsidRPr="00CD109D" w:rsidRDefault="00CD109D" w:rsidP="00CD109D">
            <w:pPr>
              <w:widowControl/>
              <w:spacing w:line="280" w:lineRule="exact"/>
              <w:ind w:leftChars="-39" w:left="768" w:hangingChars="425" w:hanging="85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（２）生徒の自己肯定感を高め、自己実現、自立のための力、働き続ける力の向上</w:t>
            </w:r>
          </w:p>
          <w:p w:rsidR="00CD109D" w:rsidRPr="00CD109D" w:rsidRDefault="00CD109D" w:rsidP="00CD109D">
            <w:pPr>
              <w:widowControl/>
              <w:spacing w:line="280" w:lineRule="exact"/>
              <w:ind w:leftChars="-39" w:left="768" w:hangingChars="425" w:hanging="85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（３）支援学校における児童・生徒、保護者の学校満足度の向上</w:t>
            </w:r>
          </w:p>
        </w:tc>
      </w:tr>
      <w:tr w:rsidR="00CD109D" w:rsidRPr="00CD109D" w:rsidTr="00634519">
        <w:trPr>
          <w:trHeight w:val="315"/>
        </w:trPr>
        <w:tc>
          <w:tcPr>
            <w:tcW w:w="1780" w:type="dxa"/>
            <w:gridSpan w:val="2"/>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 xml:space="preserve">　計画名</w:t>
            </w:r>
          </w:p>
        </w:tc>
        <w:tc>
          <w:tcPr>
            <w:tcW w:w="8426"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ＭＳ Ｐゴシック" w:eastAsia="ＭＳ Ｐゴシック" w:hAnsi="ＭＳ Ｐゴシック" w:cs="ＭＳ Ｐゴシック" w:hint="eastAsia"/>
                <w:kern w:val="0"/>
                <w:sz w:val="20"/>
                <w:szCs w:val="20"/>
              </w:rPr>
            </w:pPr>
            <w:r w:rsidRPr="00CD109D">
              <w:rPr>
                <w:rFonts w:ascii="ＭＳ Ｐゴシック" w:eastAsia="ＭＳ Ｐゴシック" w:hAnsi="ＭＳ Ｐゴシック" w:cs="ＭＳ Ｐゴシック" w:hint="eastAsia"/>
                <w:kern w:val="0"/>
                <w:sz w:val="20"/>
                <w:szCs w:val="20"/>
              </w:rPr>
              <w:t xml:space="preserve">　Ｆｌｙ Ｔo Tｈｅ Future　～　それぞれの自立のために　～</w:t>
            </w:r>
          </w:p>
        </w:tc>
      </w:tr>
      <w:tr w:rsidR="00CD109D" w:rsidRPr="00CD109D" w:rsidTr="00CD109D">
        <w:trPr>
          <w:trHeight w:val="315"/>
        </w:trPr>
        <w:tc>
          <w:tcPr>
            <w:tcW w:w="10206"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２．事業計画の具体的内容</w:t>
            </w:r>
          </w:p>
        </w:tc>
      </w:tr>
      <w:tr w:rsidR="00CD109D" w:rsidRPr="00CD109D" w:rsidTr="00634519">
        <w:trPr>
          <w:trHeight w:val="315"/>
        </w:trPr>
        <w:tc>
          <w:tcPr>
            <w:tcW w:w="1780" w:type="dxa"/>
            <w:gridSpan w:val="2"/>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学校経営計画の</w:t>
            </w:r>
          </w:p>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中期的目標</w:t>
            </w:r>
          </w:p>
        </w:tc>
        <w:tc>
          <w:tcPr>
            <w:tcW w:w="8426"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ind w:left="342" w:hangingChars="171" w:hanging="34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社会的自立に必要な力を養うための特色ある教育活動の充実</w:t>
            </w:r>
          </w:p>
          <w:p w:rsidR="00CD109D" w:rsidRPr="00CD109D" w:rsidRDefault="00CD109D" w:rsidP="00CD109D">
            <w:pPr>
              <w:widowControl/>
              <w:spacing w:line="280" w:lineRule="exact"/>
              <w:ind w:leftChars="96" w:left="768" w:hangingChars="283" w:hanging="56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次期学習指導要領をふまえた教育課程の確立と、確かな学力をはぐぐむために、「主体的で対話的な深い学び」を軸に授業改善に努める。</w:t>
            </w:r>
          </w:p>
          <w:p w:rsidR="00CD109D" w:rsidRPr="00CD109D" w:rsidRDefault="00CD109D" w:rsidP="00CD109D">
            <w:pPr>
              <w:widowControl/>
              <w:spacing w:line="280" w:lineRule="exact"/>
              <w:ind w:leftChars="96" w:left="768" w:hangingChars="283" w:hanging="56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キャリア教育の観点からの自立活動を充実させることにより、一人ひとりの教育的ニーズに応じた適切な指導、支援をはかる。</w:t>
            </w:r>
          </w:p>
          <w:p w:rsidR="00CD109D" w:rsidRPr="00CD109D" w:rsidRDefault="00CD109D" w:rsidP="00CD109D">
            <w:pPr>
              <w:widowControl/>
              <w:spacing w:line="280" w:lineRule="exact"/>
              <w:ind w:leftChars="96" w:left="768" w:hangingChars="283" w:hanging="56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生徒の自己肯定感を高め、自己実現と働き続ける力を育成するための「進路学習・進路指導」の推進。</w:t>
            </w:r>
          </w:p>
          <w:p w:rsidR="00CD109D" w:rsidRPr="00CD109D" w:rsidRDefault="00CD109D" w:rsidP="00CD109D">
            <w:pPr>
              <w:widowControl/>
              <w:spacing w:line="280" w:lineRule="exact"/>
              <w:ind w:left="321" w:hangingChars="171" w:hanging="321"/>
              <w:rPr>
                <w:rFonts w:ascii="ＭＳ ゴシック" w:eastAsia="ＭＳ ゴシック" w:hAnsi="ＭＳ ゴシック" w:cs="ＭＳ Ｐゴシック" w:hint="eastAsia"/>
                <w:spacing w:val="-6"/>
                <w:kern w:val="0"/>
                <w:sz w:val="20"/>
                <w:szCs w:val="20"/>
              </w:rPr>
            </w:pPr>
            <w:r w:rsidRPr="00CD109D">
              <w:rPr>
                <w:rFonts w:ascii="ＭＳ ゴシック" w:eastAsia="ＭＳ ゴシック" w:hAnsi="ＭＳ ゴシック" w:cs="ＭＳ Ｐゴシック" w:hint="eastAsia"/>
                <w:spacing w:val="-6"/>
                <w:kern w:val="0"/>
                <w:sz w:val="20"/>
                <w:szCs w:val="20"/>
              </w:rPr>
              <w:t>２</w:t>
            </w:r>
            <w:r w:rsidRPr="00CD109D">
              <w:rPr>
                <w:rFonts w:ascii="ＭＳ ゴシック" w:eastAsia="ＭＳ ゴシック" w:hAnsi="ＭＳ ゴシック" w:cs="ＭＳ Ｐゴシック"/>
                <w:spacing w:val="-6"/>
                <w:kern w:val="0"/>
                <w:sz w:val="20"/>
                <w:szCs w:val="20"/>
              </w:rPr>
              <w:tab/>
            </w:r>
            <w:r w:rsidRPr="00CD109D">
              <w:rPr>
                <w:rFonts w:ascii="ＭＳ ゴシック" w:eastAsia="ＭＳ ゴシック" w:hAnsi="ＭＳ ゴシック" w:cs="ＭＳ Ｐゴシック" w:hint="eastAsia"/>
                <w:spacing w:val="-6"/>
                <w:kern w:val="0"/>
                <w:sz w:val="20"/>
                <w:szCs w:val="20"/>
              </w:rPr>
              <w:t>高等支援学校教員としての専門性の確立とこれからの時代の変化に対応できる組織力向上</w:t>
            </w:r>
          </w:p>
          <w:p w:rsidR="00CD109D" w:rsidRPr="00CD109D" w:rsidRDefault="00CD109D" w:rsidP="00CD109D">
            <w:pPr>
              <w:widowControl/>
              <w:spacing w:line="280" w:lineRule="exact"/>
              <w:ind w:leftChars="96" w:left="768" w:hangingChars="283" w:hanging="56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教員全員の指導力、授業力の向上を組織的に推進し、社会の変化に対応できる「学び続ける」教職員の育成をめざす</w:t>
            </w:r>
          </w:p>
        </w:tc>
      </w:tr>
      <w:tr w:rsidR="00CD109D" w:rsidRPr="00CD109D" w:rsidTr="00634519">
        <w:trPr>
          <w:trHeight w:val="315"/>
        </w:trPr>
        <w:tc>
          <w:tcPr>
            <w:tcW w:w="1780" w:type="dxa"/>
            <w:gridSpan w:val="2"/>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事業目標</w:t>
            </w:r>
          </w:p>
        </w:tc>
        <w:tc>
          <w:tcPr>
            <w:tcW w:w="8426"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本校の課題</w:t>
            </w:r>
            <w:r>
              <w:rPr>
                <w:rFonts w:ascii="ＭＳ ゴシック" w:eastAsia="ＭＳ ゴシック" w:hAnsi="ＭＳ ゴシック" w:cs="ＭＳ Ｐゴシック" w:hint="eastAsia"/>
                <w:kern w:val="0"/>
                <w:sz w:val="20"/>
                <w:szCs w:val="20"/>
              </w:rPr>
              <w:t>＞</w:t>
            </w:r>
          </w:p>
          <w:p w:rsidR="00CD109D" w:rsidRPr="00CD109D" w:rsidRDefault="00CD109D" w:rsidP="00CD109D">
            <w:pPr>
              <w:widowControl/>
              <w:spacing w:line="280" w:lineRule="exact"/>
              <w:ind w:leftChars="96" w:left="202" w:firstLineChars="100" w:firstLine="20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本校の生徒たちにとって高校生活の３年間で「生きる力」を育成することは大きな課題である。障がいにより不足している経験を補うために、ICTをより多く活用し、「生きる力」の育成に努めたい。</w:t>
            </w:r>
          </w:p>
          <w:p w:rsidR="00CD109D" w:rsidRPr="00CD109D" w:rsidRDefault="00CD109D" w:rsidP="00CD109D">
            <w:pPr>
              <w:widowControl/>
              <w:spacing w:line="280" w:lineRule="exact"/>
              <w:ind w:leftChars="96" w:left="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 xml:space="preserve">　視覚支援や聴覚支援の必要な生徒が多い中、大型テレビなどを活用した授業は本校の教育活動の中心になりつつある。しかし、テレビ台数の不足により、経験を積む機会を逸している現状があり、生徒たちの「生きる力」育成のためにも、自らの考えを伝えることや発表の機会をICT活用により増やしていきたい。</w:t>
            </w:r>
          </w:p>
          <w:p w:rsidR="00CD109D" w:rsidRPr="00CD109D" w:rsidRDefault="00CD109D" w:rsidP="00CD109D">
            <w:pPr>
              <w:widowControl/>
              <w:spacing w:line="280" w:lineRule="exac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事業概要</w:t>
            </w:r>
            <w:r>
              <w:rPr>
                <w:rFonts w:ascii="ＭＳ ゴシック" w:eastAsia="ＭＳ ゴシック" w:hAnsi="ＭＳ ゴシック" w:cs="ＭＳ Ｐゴシック" w:hint="eastAsia"/>
                <w:kern w:val="0"/>
                <w:sz w:val="20"/>
                <w:szCs w:val="20"/>
              </w:rPr>
              <w:t>＞</w:t>
            </w:r>
          </w:p>
          <w:p w:rsidR="00CD109D" w:rsidRPr="00CD109D" w:rsidRDefault="00CD109D" w:rsidP="00CD109D">
            <w:pPr>
              <w:widowControl/>
              <w:spacing w:line="280" w:lineRule="exact"/>
              <w:ind w:firstLineChars="100" w:firstLine="20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電子黒板が各教室に配置された場合は（１）から（３）の目標達成をめざす。</w:t>
            </w:r>
          </w:p>
          <w:p w:rsidR="00CD109D" w:rsidRPr="00CD109D" w:rsidRDefault="00CD109D" w:rsidP="00CD109D">
            <w:pPr>
              <w:widowControl/>
              <w:spacing w:line="280" w:lineRule="exact"/>
              <w:ind w:leftChars="28" w:left="769" w:hangingChars="355" w:hanging="71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電子黒板、タブレット端末を中心にICT機器を効率的に活用し、未知の情報を得ることで受け身の授業から、友だち同士での教え</w:t>
            </w:r>
            <w:r w:rsidR="00634519">
              <w:rPr>
                <w:rFonts w:ascii="ＭＳ ゴシック" w:eastAsia="ＭＳ ゴシック" w:hAnsi="ＭＳ ゴシック" w:cs="ＭＳ Ｐゴシック" w:hint="eastAsia"/>
                <w:kern w:val="0"/>
                <w:sz w:val="20"/>
                <w:szCs w:val="20"/>
              </w:rPr>
              <w:t>合い</w:t>
            </w:r>
            <w:r w:rsidRPr="00CD109D">
              <w:rPr>
                <w:rFonts w:ascii="ＭＳ ゴシック" w:eastAsia="ＭＳ ゴシック" w:hAnsi="ＭＳ ゴシック" w:cs="ＭＳ Ｐゴシック" w:hint="eastAsia"/>
                <w:kern w:val="0"/>
                <w:sz w:val="20"/>
                <w:szCs w:val="20"/>
              </w:rPr>
              <w:t>や、学びの発表など、自ら学ぶことができることにより知識・技能の定着をはかる。他者を意識した話す力、聞く力の育成をめざす。また、すべての授業で視覚支援、聴覚支援を行うことで分かりやすい授業を実践し、生徒の能動的な学習時間が増える。</w:t>
            </w:r>
          </w:p>
          <w:p w:rsidR="00CD109D" w:rsidRPr="00CD109D" w:rsidRDefault="00CD109D" w:rsidP="00CD109D">
            <w:pPr>
              <w:widowControl/>
              <w:spacing w:line="280" w:lineRule="exact"/>
              <w:ind w:leftChars="28" w:left="769" w:hangingChars="355" w:hanging="71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教え合い、発表をする→知識・技能の定着→自信がつく→主体的・意欲的に学ぶという正のスパイラルを生み、自己肯定感を高め、就労するための力を身につける。</w:t>
            </w:r>
          </w:p>
          <w:p w:rsidR="00CD109D" w:rsidRPr="00CD109D" w:rsidRDefault="00CD109D" w:rsidP="00CD109D">
            <w:pPr>
              <w:widowControl/>
              <w:spacing w:line="280" w:lineRule="exact"/>
              <w:ind w:leftChars="28" w:left="769" w:hangingChars="355" w:hanging="710"/>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生徒の満足度だけでなく、生徒の成長を感じることで保護者の満足度の向上につながる。</w:t>
            </w:r>
          </w:p>
        </w:tc>
      </w:tr>
      <w:tr w:rsidR="00CD109D" w:rsidRPr="00CD109D" w:rsidTr="00634519">
        <w:trPr>
          <w:trHeight w:val="315"/>
        </w:trPr>
        <w:tc>
          <w:tcPr>
            <w:tcW w:w="570" w:type="dxa"/>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p>
        </w:tc>
        <w:tc>
          <w:tcPr>
            <w:tcW w:w="121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整備する</w:t>
            </w:r>
          </w:p>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設備・物品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D109D">
            <w:pPr>
              <w:widowControl/>
              <w:spacing w:line="280" w:lineRule="exact"/>
              <w:ind w:leftChars="28" w:left="59"/>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普通教室</w:t>
            </w:r>
            <w:r w:rsidR="00634519">
              <w:rPr>
                <w:rFonts w:ascii="ＭＳ ゴシック" w:eastAsia="ＭＳ ゴシック" w:hAnsi="ＭＳ ゴシック" w:cs="ＭＳ Ｐゴシック" w:hint="eastAsia"/>
                <w:kern w:val="0"/>
                <w:sz w:val="20"/>
                <w:szCs w:val="20"/>
              </w:rPr>
              <w:t>９</w:t>
            </w:r>
            <w:r w:rsidRPr="00CD109D">
              <w:rPr>
                <w:rFonts w:ascii="ＭＳ ゴシック" w:eastAsia="ＭＳ ゴシック" w:hAnsi="ＭＳ ゴシック" w:cs="ＭＳ Ｐゴシック" w:hint="eastAsia"/>
                <w:kern w:val="0"/>
                <w:sz w:val="20"/>
                <w:szCs w:val="20"/>
              </w:rPr>
              <w:t>室、特別教室</w:t>
            </w:r>
            <w:r w:rsidR="00634519">
              <w:rPr>
                <w:rFonts w:ascii="ＭＳ ゴシック" w:eastAsia="ＭＳ ゴシック" w:hAnsi="ＭＳ ゴシック" w:cs="ＭＳ Ｐゴシック" w:hint="eastAsia"/>
                <w:kern w:val="0"/>
                <w:sz w:val="20"/>
                <w:szCs w:val="20"/>
              </w:rPr>
              <w:t>４</w:t>
            </w:r>
            <w:bookmarkStart w:id="1" w:name="_GoBack"/>
            <w:bookmarkEnd w:id="1"/>
            <w:r w:rsidRPr="00CD109D">
              <w:rPr>
                <w:rFonts w:ascii="ＭＳ ゴシック" w:eastAsia="ＭＳ ゴシック" w:hAnsi="ＭＳ ゴシック" w:cs="ＭＳ Ｐゴシック" w:hint="eastAsia"/>
                <w:kern w:val="0"/>
                <w:sz w:val="20"/>
                <w:szCs w:val="20"/>
              </w:rPr>
              <w:t>室への電子黒板機能付き単焦点プロジェクタ、壁付け金具、インターフェイスボックス、配線工事、ワイヤレスディスプレイアダプタ、プロジェクタスクリーン、配線工事費（設置する場所によってケーブルの長さが変わるためHDMIケーブル、RGBケーブル、USBケーブルを含む）</w:t>
            </w:r>
          </w:p>
        </w:tc>
      </w:tr>
    </w:tbl>
    <w:p w:rsidR="00634519" w:rsidRDefault="00634519"/>
    <w:tbl>
      <w:tblPr>
        <w:tblW w:w="10206" w:type="dxa"/>
        <w:tblInd w:w="-10" w:type="dxa"/>
        <w:tblCellMar>
          <w:left w:w="99" w:type="dxa"/>
          <w:right w:w="99" w:type="dxa"/>
        </w:tblCellMar>
        <w:tblLook w:val="04A0" w:firstRow="1" w:lastRow="0" w:firstColumn="1" w:lastColumn="0" w:noHBand="0" w:noVBand="1"/>
      </w:tblPr>
      <w:tblGrid>
        <w:gridCol w:w="570"/>
        <w:gridCol w:w="570"/>
        <w:gridCol w:w="640"/>
        <w:gridCol w:w="8426"/>
      </w:tblGrid>
      <w:tr w:rsidR="00CD109D" w:rsidRPr="00CD109D" w:rsidTr="00634519">
        <w:trPr>
          <w:trHeight w:val="315"/>
        </w:trPr>
        <w:tc>
          <w:tcPr>
            <w:tcW w:w="570" w:type="dxa"/>
            <w:vMerge w:val="restart"/>
            <w:tcBorders>
              <w:top w:val="nil"/>
              <w:left w:val="single" w:sz="8" w:space="0" w:color="auto"/>
              <w:bottom w:val="single" w:sz="4" w:space="0" w:color="auto"/>
              <w:right w:val="single" w:sz="4" w:space="0" w:color="auto"/>
            </w:tcBorders>
            <w:shd w:val="clear" w:color="auto" w:fill="D9E2F3" w:themeFill="accent5" w:themeFillTint="33"/>
            <w:tcMar>
              <w:top w:w="142" w:type="dxa"/>
              <w:left w:w="142" w:type="dxa"/>
              <w:bottom w:w="142" w:type="dxa"/>
              <w:right w:w="142" w:type="dxa"/>
            </w:tcMar>
            <w:vAlign w:val="center"/>
            <w:hideMark/>
          </w:tcPr>
          <w:p w:rsidR="00CD109D" w:rsidRPr="00CD109D" w:rsidRDefault="00634519" w:rsidP="00CD109D">
            <w:pPr>
              <w:widowControl/>
              <w:spacing w:line="280" w:lineRule="exact"/>
              <w:jc w:val="left"/>
              <w:rPr>
                <w:rFonts w:ascii="Meiryo UI" w:eastAsia="Meiryo UI" w:hAnsi="Meiryo UI" w:cs="ＭＳ Ｐゴシック"/>
                <w:b/>
                <w:bCs/>
                <w:kern w:val="0"/>
                <w:sz w:val="20"/>
                <w:szCs w:val="20"/>
              </w:rPr>
            </w:pPr>
            <w:r w:rsidRPr="00CD109D">
              <w:rPr>
                <w:rFonts w:ascii="Meiryo UI" w:eastAsia="Meiryo UI" w:hAnsi="Meiryo UI" w:cs="ＭＳ Ｐゴシック" w:hint="eastAsia"/>
                <w:b/>
                <w:bCs/>
                <w:kern w:val="0"/>
                <w:sz w:val="20"/>
                <w:szCs w:val="20"/>
              </w:rPr>
              <w:t>取組みの概要</w:t>
            </w: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取組内容</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前年度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20D0A"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20D0A">
              <w:rPr>
                <w:rFonts w:ascii="ＭＳ ゴシック" w:eastAsia="ＭＳ ゴシック" w:hAnsi="ＭＳ ゴシック" w:cs="ＭＳ Ｐゴシック" w:hint="eastAsia"/>
                <w:kern w:val="0"/>
                <w:sz w:val="20"/>
                <w:szCs w:val="20"/>
              </w:rPr>
              <w:t>FT2F</w:t>
            </w:r>
            <w:r w:rsidR="00CD109D" w:rsidRPr="00C20D0A">
              <w:rPr>
                <w:rFonts w:ascii="ＭＳ ゴシック" w:eastAsia="ＭＳ ゴシック" w:hAnsi="ＭＳ ゴシック" w:cs="ＭＳ Ｐゴシック" w:hint="eastAsia"/>
                <w:kern w:val="0"/>
                <w:sz w:val="20"/>
                <w:szCs w:val="20"/>
              </w:rPr>
              <w:t>（FLY TO THE Future）チーム（ICT機器を活用した授業力向上委員会）を発足した。（６月）</w:t>
            </w:r>
          </w:p>
          <w:p w:rsidR="00CD109D" w:rsidRPr="00C20D0A"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20D0A">
              <w:rPr>
                <w:rFonts w:ascii="ＭＳ ゴシック" w:eastAsia="ＭＳ ゴシック" w:hAnsi="ＭＳ ゴシック" w:cs="ＭＳ Ｐゴシック" w:hint="eastAsia"/>
                <w:kern w:val="0"/>
                <w:sz w:val="20"/>
                <w:szCs w:val="20"/>
              </w:rPr>
              <w:t>FT2F</w:t>
            </w:r>
            <w:r w:rsidR="00CD109D" w:rsidRPr="00C20D0A">
              <w:rPr>
                <w:rFonts w:ascii="ＭＳ ゴシック" w:eastAsia="ＭＳ ゴシック" w:hAnsi="ＭＳ ゴシック" w:cs="ＭＳ Ｐゴシック" w:hint="eastAsia"/>
                <w:kern w:val="0"/>
                <w:sz w:val="20"/>
                <w:szCs w:val="20"/>
              </w:rPr>
              <w:t>チームのメンバー中心に「関西教育ICT展」や「関西教育ITソリューションEXPO」に出張し、ICT機器について調査、研究した。（８､９月）</w:t>
            </w:r>
          </w:p>
          <w:p w:rsidR="00CD109D" w:rsidRPr="00C20D0A"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20D0A">
              <w:rPr>
                <w:rFonts w:ascii="ＭＳ ゴシック" w:eastAsia="ＭＳ ゴシック" w:hAnsi="ＭＳ ゴシック" w:cs="ＭＳ Ｐゴシック" w:hint="eastAsia"/>
                <w:kern w:val="0"/>
                <w:sz w:val="20"/>
                <w:szCs w:val="20"/>
              </w:rPr>
              <w:t>電子黒板を１台レンタルして全教員に研修（３回）を行い、活用後に教員アンケートを取った。（10月）</w:t>
            </w:r>
          </w:p>
          <w:p w:rsidR="00CD109D" w:rsidRPr="00C20D0A"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20D0A">
              <w:rPr>
                <w:rFonts w:ascii="ＭＳ ゴシック" w:eastAsia="ＭＳ ゴシック" w:hAnsi="ＭＳ ゴシック" w:cs="ＭＳ Ｐゴシック" w:hint="eastAsia"/>
                <w:kern w:val="0"/>
                <w:sz w:val="20"/>
                <w:szCs w:val="20"/>
              </w:rPr>
              <w:t>教員のアンケートや生徒の感想などを元に、職員会議で教職員の合意を得て、学校経営推進費対象の事業計画として決定した。（２月）</w:t>
            </w:r>
          </w:p>
        </w:tc>
      </w:tr>
      <w:tr w:rsidR="00CD109D" w:rsidRPr="00CD109D" w:rsidTr="00634519">
        <w:trPr>
          <w:trHeight w:val="315"/>
        </w:trPr>
        <w:tc>
          <w:tcPr>
            <w:tcW w:w="570" w:type="dxa"/>
            <w:vMerge/>
            <w:tcBorders>
              <w:top w:val="nil"/>
              <w:left w:val="single" w:sz="8" w:space="0" w:color="auto"/>
              <w:bottom w:val="single" w:sz="4" w:space="0" w:color="auto"/>
              <w:right w:val="single" w:sz="4" w:space="0" w:color="auto"/>
            </w:tcBorders>
            <w:shd w:val="clear" w:color="auto" w:fill="D9E2F3" w:themeFill="accent5" w:themeFillTint="33"/>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初年度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全職員向けICT機器に向けた活用研修（４～５月）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チームによるICT機器管理方法の検討と職員への周知、府立高等支援学校への授業視察（～７月）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生徒への授業アンケート（７,12,３月）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全教職員向け機器利用等研修（８月）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チームによる生徒教員ICT機器の活用、理解度満足度調査（12,３月）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ICT機器を活用した授業公開（12月）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チームによる活用調査、理解度参加度の分析と情報共有（１月）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チームによる１年めの検証、改善に向けて検討、活用方法の収集（３月）</w:t>
            </w:r>
          </w:p>
        </w:tc>
      </w:tr>
      <w:tr w:rsidR="00CD109D" w:rsidRPr="00CD109D" w:rsidTr="00634519">
        <w:trPr>
          <w:trHeight w:val="315"/>
        </w:trPr>
        <w:tc>
          <w:tcPr>
            <w:tcW w:w="570" w:type="dxa"/>
            <w:vMerge/>
            <w:tcBorders>
              <w:top w:val="nil"/>
              <w:left w:val="single" w:sz="8" w:space="0" w:color="auto"/>
              <w:bottom w:val="single" w:sz="4" w:space="0" w:color="auto"/>
              <w:right w:val="single" w:sz="4" w:space="0" w:color="auto"/>
            </w:tcBorders>
            <w:shd w:val="clear" w:color="auto" w:fill="D9E2F3" w:themeFill="accent5" w:themeFillTint="33"/>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２年め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全教職員向け機器利用等研修、</w:t>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チームによる活用調査、理解度参加度の分析と情報共有（４月）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ICT機器を活用した授業公開、研究協議（２,12月）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生徒への授業アンケート、</w:t>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チームによる生徒教員ICT機器の活用、理解度満足度調査（７,12,３月）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チームによる活用調査、理解度参加度の分析と情報共有（８,１月）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チームによる２年めの検証、改善に向けて検討、活用方法の収集（３月）</w:t>
            </w:r>
          </w:p>
        </w:tc>
      </w:tr>
      <w:tr w:rsidR="00CD109D" w:rsidRPr="00CD109D" w:rsidTr="00634519">
        <w:trPr>
          <w:trHeight w:val="315"/>
        </w:trPr>
        <w:tc>
          <w:tcPr>
            <w:tcW w:w="570" w:type="dxa"/>
            <w:vMerge/>
            <w:tcBorders>
              <w:top w:val="nil"/>
              <w:left w:val="single" w:sz="8" w:space="0" w:color="auto"/>
              <w:bottom w:val="single" w:sz="4" w:space="0" w:color="auto"/>
              <w:right w:val="single" w:sz="4" w:space="0" w:color="auto"/>
            </w:tcBorders>
            <w:shd w:val="clear" w:color="auto" w:fill="D9E2F3" w:themeFill="accent5" w:themeFillTint="33"/>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３年め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全教職員向け機器利用等研修、</w:t>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チームによる活用調査、理解度参加度の分析と情報共有（４月）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ICT機器を活用した授業公開、研究協議（７,12月）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生徒への授業アンケート、</w:t>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チームによる生徒教員ICT機器の活用、理解度満足度調査（７,12,３月）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チームによる活用調査、理解度参加度の分析と情報共有（８,１月）</w:t>
            </w:r>
          </w:p>
          <w:p w:rsidR="00CD109D" w:rsidRPr="00CD109D" w:rsidRDefault="00CD109D"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各教科で３年間のICT機器の活用について検証及びまとめ（９～12月）</w:t>
            </w:r>
          </w:p>
          <w:p w:rsidR="00CD109D" w:rsidRPr="00CD109D" w:rsidRDefault="00C20D0A" w:rsidP="00C20D0A">
            <w:pPr>
              <w:pStyle w:val="a3"/>
              <w:widowControl/>
              <w:numPr>
                <w:ilvl w:val="0"/>
                <w:numId w:val="1"/>
              </w:numPr>
              <w:spacing w:line="280" w:lineRule="exact"/>
              <w:ind w:leftChars="0" w:left="202" w:hanging="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チームによる３年間の検証と取組みを冊子、Webページなど外部へ公開（１～３月）</w:t>
            </w:r>
          </w:p>
        </w:tc>
      </w:tr>
      <w:tr w:rsidR="00CD109D" w:rsidRPr="00CD109D" w:rsidTr="00634519">
        <w:trPr>
          <w:trHeight w:val="315"/>
        </w:trPr>
        <w:tc>
          <w:tcPr>
            <w:tcW w:w="570" w:type="dxa"/>
            <w:vMerge/>
            <w:tcBorders>
              <w:top w:val="nil"/>
              <w:left w:val="single" w:sz="8" w:space="0" w:color="auto"/>
              <w:bottom w:val="single" w:sz="4" w:space="0" w:color="auto"/>
              <w:right w:val="single" w:sz="4" w:space="0" w:color="auto"/>
            </w:tcBorders>
            <w:shd w:val="clear" w:color="auto" w:fill="D9E2F3" w:themeFill="accent5" w:themeFillTint="33"/>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1210"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取組みの</w:t>
            </w:r>
          </w:p>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主担・実施者</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20D0A" w:rsidP="00C20D0A">
            <w:pPr>
              <w:widowControl/>
              <w:spacing w:line="280" w:lineRule="exact"/>
              <w:ind w:leftChars="96" w:left="202"/>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FT2F</w:t>
            </w:r>
            <w:r w:rsidR="00CD109D" w:rsidRPr="00CD109D">
              <w:rPr>
                <w:rFonts w:ascii="ＭＳ ゴシック" w:eastAsia="ＭＳ ゴシック" w:hAnsi="ＭＳ ゴシック" w:cs="ＭＳ Ｐゴシック" w:hint="eastAsia"/>
                <w:kern w:val="0"/>
                <w:sz w:val="20"/>
                <w:szCs w:val="20"/>
              </w:rPr>
              <w:t>（FLY TO THE Future）チーム（ICT機器を活用した授業力向上チーム）</w:t>
            </w:r>
          </w:p>
          <w:p w:rsidR="00CD109D" w:rsidRPr="00CD109D" w:rsidRDefault="00CD109D" w:rsidP="00C20D0A">
            <w:pPr>
              <w:widowControl/>
              <w:spacing w:line="280" w:lineRule="exact"/>
              <w:ind w:leftChars="96" w:left="202"/>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構成メンバー　教頭、首席、各教科代表、教務部情報係</w:t>
            </w:r>
          </w:p>
        </w:tc>
      </w:tr>
      <w:tr w:rsidR="00CD109D" w:rsidRPr="00CD109D" w:rsidTr="00634519">
        <w:trPr>
          <w:trHeight w:val="31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成果の検証方法</w:t>
            </w:r>
          </w:p>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と評価指標</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初年度</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学校教育自己診断（生徒）の「授業の工夫」「授業が分かりやすい」の項目の肯定率を90％とする。授業のICT機器を用いた公開授業（３名）行い、ICT機器を活用する教員の割合を60％とする。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（２）</w:t>
            </w:r>
            <w:r w:rsidR="00C20D0A">
              <w:rPr>
                <w:rFonts w:ascii="ＭＳ ゴシック" w:eastAsia="ＭＳ ゴシック" w:hAnsi="ＭＳ ゴシック" w:cs="ＭＳ Ｐゴシック"/>
                <w:kern w:val="0"/>
                <w:sz w:val="20"/>
                <w:szCs w:val="20"/>
              </w:rPr>
              <w:tab/>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チームの調査の「自己肯定感を高めた」、「自己実現、自立のための力を持てた」、「働き続ける力を持てた」の項目の肯定率を85％以上にする。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（３）</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生徒、保護者の学校満足度の肯定率を85％とする。</w:t>
            </w:r>
          </w:p>
        </w:tc>
      </w:tr>
      <w:tr w:rsidR="00CD109D" w:rsidRPr="00CD109D" w:rsidTr="00634519">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２年め</w:t>
            </w:r>
          </w:p>
        </w:tc>
        <w:tc>
          <w:tcPr>
            <w:tcW w:w="8426"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学校教育自己診断（生徒）の「授業の工夫」「授業が分かりやすい」の項目の肯定率を95％とする。授業のICT機器を用いた公開授業（６名）行い、ICT機器を活用する教員の割合を75％とする。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lastRenderedPageBreak/>
              <w:t>（２）</w:t>
            </w:r>
            <w:r w:rsidR="00C20D0A">
              <w:rPr>
                <w:rFonts w:ascii="ＭＳ ゴシック" w:eastAsia="ＭＳ ゴシック" w:hAnsi="ＭＳ ゴシック" w:cs="ＭＳ Ｐゴシック"/>
                <w:kern w:val="0"/>
                <w:sz w:val="20"/>
                <w:szCs w:val="20"/>
              </w:rPr>
              <w:tab/>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チームの調査の「自己肯定感を高めた」、「自己実現、自立のための力を持てた」、「働き続ける力を持てた」の項目の肯定率を90％以上にする。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（３）</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生徒、保護者の学校満足度の肯定率を90％とする。</w:t>
            </w:r>
          </w:p>
        </w:tc>
      </w:tr>
      <w:tr w:rsidR="00CD109D" w:rsidRPr="00CD109D" w:rsidTr="00634519">
        <w:trPr>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CD109D" w:rsidRPr="00CD109D" w:rsidRDefault="00CD109D" w:rsidP="00CD109D">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CD109D" w:rsidRPr="00CD109D" w:rsidRDefault="00CD109D" w:rsidP="00CD109D">
            <w:pPr>
              <w:widowControl/>
              <w:spacing w:line="280" w:lineRule="exact"/>
              <w:jc w:val="center"/>
              <w:rPr>
                <w:rFonts w:ascii="Meiryo UI" w:eastAsia="Meiryo UI" w:hAnsi="Meiryo UI" w:cs="ＭＳ Ｐゴシック" w:hint="eastAsia"/>
                <w:b/>
                <w:bCs/>
                <w:kern w:val="0"/>
                <w:sz w:val="20"/>
                <w:szCs w:val="20"/>
              </w:rPr>
            </w:pPr>
            <w:r w:rsidRPr="00CD109D">
              <w:rPr>
                <w:rFonts w:ascii="Meiryo UI" w:eastAsia="Meiryo UI" w:hAnsi="Meiryo UI" w:cs="ＭＳ Ｐゴシック" w:hint="eastAsia"/>
                <w:b/>
                <w:bCs/>
                <w:kern w:val="0"/>
                <w:sz w:val="20"/>
                <w:szCs w:val="20"/>
              </w:rPr>
              <w:t>３年め</w:t>
            </w:r>
          </w:p>
        </w:tc>
        <w:tc>
          <w:tcPr>
            <w:tcW w:w="8426"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（１）</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学校教育自己診断（生徒）の「授業の工夫」「授業が分かりやすい」の項目の肯定率を100％とする。授業のICT機器を用いた公開授業（８名）行い、ICT機器を活用する教員の割合を85％とする。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（２）</w:t>
            </w:r>
            <w:r w:rsidR="00C20D0A">
              <w:rPr>
                <w:rFonts w:ascii="ＭＳ ゴシック" w:eastAsia="ＭＳ ゴシック" w:hAnsi="ＭＳ ゴシック" w:cs="ＭＳ Ｐゴシック"/>
                <w:kern w:val="0"/>
                <w:sz w:val="20"/>
                <w:szCs w:val="20"/>
              </w:rPr>
              <w:tab/>
            </w:r>
            <w:r w:rsidR="00C20D0A">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チームの調査の「自己肯定感を高めた」、「自己実現、自立のための力を持てた」、「働き続ける力を持てた」の項目の肯定率を95％以上にする。</w:t>
            </w:r>
          </w:p>
          <w:p w:rsidR="00CD109D" w:rsidRPr="00CD109D" w:rsidRDefault="00CD109D" w:rsidP="00C20D0A">
            <w:pPr>
              <w:widowControl/>
              <w:spacing w:line="280" w:lineRule="exact"/>
              <w:ind w:left="626" w:hangingChars="313" w:hanging="626"/>
              <w:rPr>
                <w:rFonts w:ascii="ＭＳ ゴシック" w:eastAsia="ＭＳ ゴシック" w:hAnsi="ＭＳ ゴシック" w:cs="ＭＳ Ｐゴシック" w:hint="eastAsia"/>
                <w:kern w:val="0"/>
                <w:sz w:val="20"/>
                <w:szCs w:val="20"/>
              </w:rPr>
            </w:pPr>
            <w:r w:rsidRPr="00CD109D">
              <w:rPr>
                <w:rFonts w:ascii="ＭＳ ゴシック" w:eastAsia="ＭＳ ゴシック" w:hAnsi="ＭＳ ゴシック" w:cs="ＭＳ Ｐゴシック" w:hint="eastAsia"/>
                <w:kern w:val="0"/>
                <w:sz w:val="20"/>
                <w:szCs w:val="20"/>
              </w:rPr>
              <w:t>（３）</w:t>
            </w:r>
            <w:r w:rsidR="00C20D0A">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生徒、保護者の学校満足度の肯定率を100％とする。</w:t>
            </w:r>
          </w:p>
        </w:tc>
      </w:tr>
    </w:tbl>
    <w:p w:rsidR="00E7112F" w:rsidRPr="00CD109D" w:rsidRDefault="00E7112F" w:rsidP="00C20D0A">
      <w:pPr>
        <w:spacing w:line="20" w:lineRule="exact"/>
      </w:pPr>
    </w:p>
    <w:sectPr w:rsidR="00E7112F" w:rsidRPr="00CD109D" w:rsidSect="00CD109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823D7"/>
    <w:multiLevelType w:val="hybridMultilevel"/>
    <w:tmpl w:val="FF26E0F0"/>
    <w:lvl w:ilvl="0" w:tplc="CEBEC90A">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9D"/>
    <w:rsid w:val="00634519"/>
    <w:rsid w:val="00C20D0A"/>
    <w:rsid w:val="00CD109D"/>
    <w:rsid w:val="00E7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1DEBD"/>
  <w15:chartTrackingRefBased/>
  <w15:docId w15:val="{6E70C1B2-C795-4340-AE5A-28574153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2020-09-14T10:54:00Z</dcterms:created>
  <dcterms:modified xsi:type="dcterms:W3CDTF">2020-09-14T11:13:00Z</dcterms:modified>
</cp:coreProperties>
</file>