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6016"/>
        <w:gridCol w:w="956"/>
        <w:gridCol w:w="290"/>
        <w:gridCol w:w="1243"/>
      </w:tblGrid>
      <w:tr w:rsidR="00F847B9" w:rsidRPr="003418B5" w:rsidTr="00F847B9">
        <w:tc>
          <w:tcPr>
            <w:tcW w:w="10206" w:type="dxa"/>
            <w:gridSpan w:val="5"/>
            <w:shd w:val="clear" w:color="auto" w:fill="auto"/>
            <w:noWrap/>
            <w:tcMar>
              <w:top w:w="142" w:type="dxa"/>
              <w:left w:w="142" w:type="dxa"/>
              <w:bottom w:w="142" w:type="dxa"/>
              <w:right w:w="142" w:type="dxa"/>
            </w:tcMar>
            <w:vAlign w:val="center"/>
            <w:hideMark/>
          </w:tcPr>
          <w:p w:rsidR="00F847B9" w:rsidRPr="003418B5" w:rsidRDefault="00E80DB3" w:rsidP="00F847B9">
            <w:pPr>
              <w:widowControl/>
              <w:spacing w:line="280" w:lineRule="exact"/>
              <w:jc w:val="center"/>
              <w:rPr>
                <w:rFonts w:ascii="Meiryo UI" w:eastAsia="Meiryo UI" w:hAnsi="Meiryo UI" w:cs="ＭＳ Ｐゴシック"/>
                <w:b/>
                <w:bCs/>
                <w:kern w:val="0"/>
                <w:sz w:val="28"/>
                <w:szCs w:val="28"/>
                <w:u w:val="single"/>
              </w:rPr>
            </w:pPr>
            <w:r>
              <w:rPr>
                <w:rFonts w:ascii="Meiryo UI" w:eastAsia="Meiryo UI" w:hAnsi="Meiryo UI" w:cs="ＭＳ Ｐゴシック" w:hint="eastAsia"/>
                <w:b/>
                <w:bCs/>
                <w:kern w:val="0"/>
                <w:sz w:val="28"/>
                <w:szCs w:val="28"/>
                <w:u w:val="single"/>
              </w:rPr>
              <w:t>学校経営推進費　評価報告書（最終</w:t>
            </w:r>
            <w:r w:rsidR="00F847B9" w:rsidRPr="003418B5">
              <w:rPr>
                <w:rFonts w:ascii="Meiryo UI" w:eastAsia="Meiryo UI" w:hAnsi="Meiryo UI" w:cs="ＭＳ Ｐゴシック" w:hint="eastAsia"/>
                <w:b/>
                <w:bCs/>
                <w:kern w:val="0"/>
                <w:sz w:val="28"/>
                <w:szCs w:val="28"/>
                <w:u w:val="single"/>
              </w:rPr>
              <w:t>）</w:t>
            </w:r>
          </w:p>
        </w:tc>
      </w:tr>
      <w:tr w:rsidR="00F847B9" w:rsidRPr="003418B5" w:rsidTr="009C03C7">
        <w:tc>
          <w:tcPr>
            <w:tcW w:w="7717" w:type="dxa"/>
            <w:gridSpan w:val="2"/>
            <w:tcBorders>
              <w:bottom w:val="single" w:sz="8" w:space="0" w:color="auto"/>
              <w:right w:val="nil"/>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jc w:val="left"/>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１．事業計画の概要</w:t>
            </w:r>
          </w:p>
        </w:tc>
        <w:tc>
          <w:tcPr>
            <w:tcW w:w="956" w:type="dxa"/>
            <w:tcBorders>
              <w:left w:val="nil"/>
              <w:bottom w:val="single" w:sz="8" w:space="0" w:color="auto"/>
              <w:right w:val="nil"/>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jc w:val="left"/>
              <w:rPr>
                <w:rFonts w:ascii="Meiryo UI" w:eastAsia="Meiryo UI" w:hAnsi="Meiryo UI" w:cs="ＭＳ Ｐゴシック"/>
                <w:b/>
                <w:bCs/>
                <w:kern w:val="0"/>
                <w:sz w:val="20"/>
                <w:szCs w:val="20"/>
              </w:rPr>
            </w:pPr>
          </w:p>
        </w:tc>
        <w:tc>
          <w:tcPr>
            <w:tcW w:w="290" w:type="dxa"/>
            <w:tcBorders>
              <w:left w:val="nil"/>
              <w:bottom w:val="single" w:sz="8" w:space="0" w:color="auto"/>
              <w:right w:val="nil"/>
            </w:tcBorders>
            <w:shd w:val="clear" w:color="auto" w:fill="auto"/>
            <w:noWrap/>
            <w:tcMar>
              <w:top w:w="142" w:type="dxa"/>
              <w:left w:w="142" w:type="dxa"/>
              <w:bottom w:w="142" w:type="dxa"/>
              <w:right w:w="142" w:type="dxa"/>
            </w:tcMar>
            <w:vAlign w:val="bottom"/>
            <w:hideMark/>
          </w:tcPr>
          <w:p w:rsidR="00F847B9" w:rsidRPr="003418B5" w:rsidRDefault="00F847B9" w:rsidP="00F847B9">
            <w:pPr>
              <w:widowControl/>
              <w:spacing w:line="280" w:lineRule="exact"/>
              <w:jc w:val="left"/>
              <w:rPr>
                <w:rFonts w:ascii="Times New Roman" w:eastAsia="Times New Roman" w:hAnsi="Times New Roman" w:cs="Times New Roman"/>
                <w:kern w:val="0"/>
                <w:sz w:val="20"/>
                <w:szCs w:val="20"/>
              </w:rPr>
            </w:pPr>
          </w:p>
        </w:tc>
        <w:tc>
          <w:tcPr>
            <w:tcW w:w="1243" w:type="dxa"/>
            <w:tcBorders>
              <w:left w:val="nil"/>
              <w:bottom w:val="single" w:sz="8" w:space="0" w:color="auto"/>
            </w:tcBorders>
            <w:shd w:val="clear" w:color="auto" w:fill="auto"/>
            <w:noWrap/>
            <w:tcMar>
              <w:top w:w="142" w:type="dxa"/>
              <w:left w:w="142" w:type="dxa"/>
              <w:bottom w:w="142" w:type="dxa"/>
              <w:right w:w="142" w:type="dxa"/>
            </w:tcMar>
            <w:vAlign w:val="bottom"/>
            <w:hideMark/>
          </w:tcPr>
          <w:p w:rsidR="00F847B9" w:rsidRPr="003418B5" w:rsidRDefault="00F847B9" w:rsidP="00F847B9">
            <w:pPr>
              <w:widowControl/>
              <w:spacing w:line="280" w:lineRule="exact"/>
              <w:jc w:val="left"/>
              <w:rPr>
                <w:rFonts w:ascii="Times New Roman" w:eastAsia="Times New Roman" w:hAnsi="Times New Roman" w:cs="Times New Roman"/>
                <w:kern w:val="0"/>
                <w:sz w:val="20"/>
                <w:szCs w:val="20"/>
              </w:rPr>
            </w:pP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tcPr>
          <w:p w:rsidR="00F847B9" w:rsidRPr="003418B5" w:rsidRDefault="00F847B9" w:rsidP="00F847B9">
            <w:pPr>
              <w:widowControl/>
              <w:spacing w:line="280" w:lineRule="exact"/>
              <w:jc w:val="center"/>
              <w:rPr>
                <w:rFonts w:ascii="ＭＳ ゴシック" w:eastAsia="ＭＳ ゴシック" w:hAnsi="ＭＳ ゴシック" w:cs="ＭＳ Ｐゴシック"/>
                <w:b/>
                <w:bCs/>
                <w:noProof/>
                <w:kern w:val="0"/>
                <w:sz w:val="20"/>
                <w:szCs w:val="20"/>
              </w:rPr>
            </w:pPr>
            <w:r w:rsidRPr="003418B5">
              <w:rPr>
                <w:rFonts w:ascii="ＭＳ ゴシック" w:eastAsia="ＭＳ ゴシック" w:hAnsi="ＭＳ ゴシック" w:cs="ＭＳ Ｐゴシック" w:hint="eastAsia"/>
                <w:b/>
                <w:bCs/>
                <w:noProof/>
                <w:kern w:val="0"/>
                <w:sz w:val="20"/>
                <w:szCs w:val="20"/>
              </w:rPr>
              <w:t>学校名</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tcPr>
          <w:p w:rsidR="00F847B9" w:rsidRPr="003418B5" w:rsidRDefault="00F847B9" w:rsidP="00F847B9">
            <w:pPr>
              <w:widowControl/>
              <w:spacing w:line="280" w:lineRule="exact"/>
              <w:ind w:leftChars="80" w:left="168"/>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大</w:t>
            </w:r>
            <w:bookmarkStart w:id="0" w:name="_GoBack"/>
            <w:bookmarkEnd w:id="0"/>
            <w:r w:rsidRPr="003418B5">
              <w:rPr>
                <w:rFonts w:ascii="ＭＳ ゴシック" w:eastAsia="ＭＳ ゴシック" w:hAnsi="ＭＳ ゴシック" w:cs="ＭＳ Ｐゴシック" w:hint="eastAsia"/>
                <w:bCs/>
                <w:kern w:val="0"/>
                <w:sz w:val="20"/>
                <w:szCs w:val="20"/>
              </w:rPr>
              <w:t>阪府立堺工科高等学校　定時制の課程</w:t>
            </w: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ind w:leftChars="80" w:left="168"/>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生徒の希望する進路の実現</w:t>
            </w: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生徒の自己有用感、挨拶、マナー、コミュニケーション能力、職業観等の向上（学校教育自己診断）</w:t>
            </w:r>
          </w:p>
          <w:p w:rsidR="00F847B9" w:rsidRPr="003418B5" w:rsidRDefault="00F847B9" w:rsidP="00F847B9">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ボランティア活動に対する意識の向上</w:t>
            </w:r>
          </w:p>
          <w:p w:rsidR="00F847B9" w:rsidRPr="003418B5" w:rsidRDefault="00F847B9" w:rsidP="00F847B9">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中途退学率の減少、 不登校生徒の減少、進級卒業率の向上</w:t>
            </w: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ind w:leftChars="80" w:left="168"/>
              <w:jc w:val="left"/>
              <w:rPr>
                <w:rFonts w:ascii="ＭＳ ゴシック" w:eastAsia="ＭＳ ゴシック" w:hAnsi="ＭＳ ゴシック" w:cs="ＭＳ Ｐゴシック"/>
                <w:bCs/>
                <w:kern w:val="0"/>
                <w:sz w:val="28"/>
                <w:szCs w:val="28"/>
              </w:rPr>
            </w:pPr>
            <w:r w:rsidRPr="003418B5">
              <w:rPr>
                <w:rFonts w:ascii="ＭＳ ゴシック" w:eastAsia="ＭＳ ゴシック" w:hAnsi="ＭＳ ゴシック" w:cs="ＭＳ Ｐゴシック" w:hint="eastAsia"/>
                <w:bCs/>
                <w:kern w:val="0"/>
                <w:szCs w:val="28"/>
              </w:rPr>
              <w:t>職業体験による「啓発プロジェクト」</w:t>
            </w:r>
          </w:p>
        </w:tc>
      </w:tr>
      <w:tr w:rsidR="00F847B9" w:rsidRPr="003418B5" w:rsidTr="00F847B9">
        <w:tc>
          <w:tcPr>
            <w:tcW w:w="7717" w:type="dxa"/>
            <w:gridSpan w:val="2"/>
            <w:tcBorders>
              <w:top w:val="single" w:sz="8" w:space="0" w:color="auto"/>
              <w:bottom w:val="single" w:sz="8" w:space="0" w:color="auto"/>
              <w:right w:val="nil"/>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jc w:val="left"/>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２．事業目標及び本年度の取組み</w:t>
            </w:r>
          </w:p>
        </w:tc>
        <w:tc>
          <w:tcPr>
            <w:tcW w:w="956" w:type="dxa"/>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jc w:val="left"/>
              <w:rPr>
                <w:rFonts w:ascii="Meiryo UI" w:eastAsia="Meiryo UI" w:hAnsi="Meiryo UI" w:cs="ＭＳ Ｐゴシック"/>
                <w:b/>
                <w:bCs/>
                <w:kern w:val="0"/>
                <w:sz w:val="20"/>
                <w:szCs w:val="20"/>
              </w:rPr>
            </w:pPr>
          </w:p>
        </w:tc>
        <w:tc>
          <w:tcPr>
            <w:tcW w:w="290" w:type="dxa"/>
            <w:tcBorders>
              <w:top w:val="single" w:sz="8" w:space="0" w:color="auto"/>
              <w:left w:val="nil"/>
              <w:bottom w:val="single" w:sz="8" w:space="0" w:color="auto"/>
              <w:right w:val="nil"/>
            </w:tcBorders>
            <w:shd w:val="clear" w:color="auto" w:fill="auto"/>
            <w:noWrap/>
            <w:tcMar>
              <w:top w:w="142" w:type="dxa"/>
              <w:left w:w="142" w:type="dxa"/>
              <w:bottom w:w="142" w:type="dxa"/>
              <w:right w:w="142" w:type="dxa"/>
            </w:tcMar>
            <w:vAlign w:val="bottom"/>
            <w:hideMark/>
          </w:tcPr>
          <w:p w:rsidR="00F847B9" w:rsidRPr="003418B5" w:rsidRDefault="00F847B9" w:rsidP="00F847B9">
            <w:pPr>
              <w:widowControl/>
              <w:spacing w:line="280" w:lineRule="exact"/>
              <w:jc w:val="left"/>
              <w:rPr>
                <w:rFonts w:ascii="Times New Roman" w:eastAsia="Times New Roman" w:hAnsi="Times New Roman" w:cs="Times New Roman"/>
                <w:kern w:val="0"/>
                <w:sz w:val="20"/>
                <w:szCs w:val="20"/>
              </w:rPr>
            </w:pPr>
          </w:p>
        </w:tc>
        <w:tc>
          <w:tcPr>
            <w:tcW w:w="1243" w:type="dxa"/>
            <w:tcBorders>
              <w:top w:val="single" w:sz="8" w:space="0" w:color="auto"/>
              <w:left w:val="nil"/>
              <w:bottom w:val="single" w:sz="8" w:space="0" w:color="auto"/>
            </w:tcBorders>
            <w:shd w:val="clear" w:color="auto" w:fill="auto"/>
            <w:noWrap/>
            <w:tcMar>
              <w:top w:w="142" w:type="dxa"/>
              <w:left w:w="142" w:type="dxa"/>
              <w:bottom w:w="142" w:type="dxa"/>
              <w:right w:w="142" w:type="dxa"/>
            </w:tcMar>
            <w:vAlign w:val="bottom"/>
            <w:hideMark/>
          </w:tcPr>
          <w:p w:rsidR="00F847B9" w:rsidRPr="003418B5" w:rsidRDefault="00F847B9" w:rsidP="00F847B9">
            <w:pPr>
              <w:widowControl/>
              <w:spacing w:line="280" w:lineRule="exact"/>
              <w:jc w:val="left"/>
              <w:rPr>
                <w:rFonts w:ascii="Times New Roman" w:eastAsia="Times New Roman" w:hAnsi="Times New Roman" w:cs="Times New Roman"/>
                <w:kern w:val="0"/>
                <w:sz w:val="20"/>
                <w:szCs w:val="20"/>
              </w:rPr>
            </w:pPr>
          </w:p>
        </w:tc>
      </w:tr>
      <w:tr w:rsidR="00F847B9" w:rsidRPr="003418B5" w:rsidTr="00F847B9">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学校経営計画の</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6CC" w:rsidRPr="00F846CC" w:rsidRDefault="00F846CC" w:rsidP="00F846CC">
            <w:pPr>
              <w:widowControl/>
              <w:spacing w:line="280" w:lineRule="exact"/>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２　生徒理解の促進と自己有用感を高める取組みの強化</w:t>
            </w:r>
          </w:p>
          <w:p w:rsidR="00F846CC" w:rsidRPr="00F846CC" w:rsidRDefault="00F846CC" w:rsidP="00F846CC">
            <w:pPr>
              <w:widowControl/>
              <w:spacing w:line="280" w:lineRule="exact"/>
              <w:ind w:left="558" w:hangingChars="279" w:hanging="558"/>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（２）</w:t>
            </w:r>
            <w:r w:rsidRPr="00F846CC">
              <w:rPr>
                <w:rFonts w:ascii="ＭＳ ゴシック" w:eastAsia="ＭＳ ゴシック" w:hAnsi="ＭＳ ゴシック" w:cs="ＭＳ Ｐゴシック"/>
                <w:kern w:val="0"/>
                <w:sz w:val="20"/>
                <w:szCs w:val="20"/>
              </w:rPr>
              <w:t xml:space="preserve"> 特別活動、生徒会活動、部活動等を通じて、生徒の自己有用感を醸成するとともに集団や学校への帰属意識を高める。</w:t>
            </w:r>
          </w:p>
          <w:p w:rsidR="00F846CC" w:rsidRPr="00F846CC" w:rsidRDefault="00F846CC" w:rsidP="00F846CC">
            <w:pPr>
              <w:widowControl/>
              <w:spacing w:line="280" w:lineRule="exact"/>
              <w:ind w:leftChars="96" w:left="560" w:hangingChars="179" w:hanging="358"/>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ア　生徒会行事、生徒の自主活動、ボランティア活動や地域連携活動の継続、発展をめざす。</w:t>
            </w:r>
          </w:p>
          <w:p w:rsidR="00F847B9" w:rsidRPr="003418B5" w:rsidRDefault="00F846CC" w:rsidP="00F846CC">
            <w:pPr>
              <w:pStyle w:val="a3"/>
              <w:widowControl/>
              <w:numPr>
                <w:ilvl w:val="0"/>
                <w:numId w:val="2"/>
              </w:numPr>
              <w:spacing w:line="280" w:lineRule="exact"/>
              <w:ind w:leftChars="0" w:left="603"/>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地域・企業等と連携した職業体験「ゆめ・チャレ」等の就労体験活動のさらなる発展充実、参画企業と動員生徒を毎年</w:t>
            </w:r>
            <w:r>
              <w:rPr>
                <w:rFonts w:ascii="ＭＳ ゴシック" w:eastAsia="ＭＳ ゴシック" w:hAnsi="ＭＳ ゴシック" w:cs="ＭＳ Ｐゴシック" w:hint="eastAsia"/>
                <w:kern w:val="0"/>
                <w:sz w:val="20"/>
                <w:szCs w:val="20"/>
              </w:rPr>
              <w:t>５％</w:t>
            </w:r>
            <w:r w:rsidRPr="00F846CC">
              <w:rPr>
                <w:rFonts w:ascii="ＭＳ ゴシック" w:eastAsia="ＭＳ ゴシック" w:hAnsi="ＭＳ ゴシック" w:cs="ＭＳ Ｐゴシック"/>
                <w:kern w:val="0"/>
                <w:sz w:val="20"/>
                <w:szCs w:val="20"/>
              </w:rPr>
              <w:t>拡張</w:t>
            </w: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ind w:leftChars="12" w:left="25"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本校生徒に自信を持たせ、コミュニケーション能力を身につけさせる。また、基本的な生活習慣を身につけさせ、進級・卒業率を上げることや、中途退学率を減らす必要がある。</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伝統地場産業を学び、「ものづくり」を通じて地域に誇りを持ち、自分にも誇りを持つ。</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地場産業を通して学校外で様々な職業体験をし、基本的生活習慣を身につけ、コミュニケーション能力等をつける。</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単なるインターンシップではなく、職業体験を通じて地域企業と生徒が、啓発活動に用いる様々な「啓発グッズ」を製作し、成果物を配布して「あいさつ運動」や「特殊詐欺防止」、「G20大阪サミット交通総量抑制」、「AED使用ついて」、「献血」等の啓発活動をおこなう。</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ボランティア活動に積極的に参加し、他者から感謝されることにより自己有用感を持つ。</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全国の定時制高校のモデル校を目指し、定時制高校の存在意義をこれまで以上に高める。</w:t>
            </w:r>
          </w:p>
        </w:tc>
      </w:tr>
      <w:tr w:rsidR="00F847B9" w:rsidRPr="003418B5" w:rsidTr="00F05F9C">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整備した</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 xml:space="preserve">・啓発活動配布用外装パッケージ一式　　　　　　　　　　　　　　　　　　　　　　     </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・啓発活動配布用「線香」</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・啓発活動配布用「蜻蛉玉」</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・啓発活動配布用「ネックレッス・香立て」</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・啓発活動配布用「注染てぬぐい・和雑貨」</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・啓発活動配布用「サシェ（匂い袋）」</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 xml:space="preserve">・啓発活動配布用「木彫り品」　　　　　　　　</w:t>
            </w:r>
          </w:p>
        </w:tc>
      </w:tr>
      <w:tr w:rsidR="00F847B9" w:rsidRPr="003418B5" w:rsidTr="00F05F9C">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取組みの</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プロジェクトリーダー：首席（進路指導主事兼任・学校設定教科｢堺学」主担）</w:t>
            </w:r>
          </w:p>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啓発プロジェクト企画・運営：企画委員及び学校設定教科｢堺学」担当教員</w:t>
            </w:r>
          </w:p>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職業体験及び地域（自治会・小中学校等）との連携推進：進路指導部</w:t>
            </w:r>
          </w:p>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生徒に対する諸活動：生徒会活動部</w:t>
            </w:r>
          </w:p>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啓発グッズ作成：機械系・電気系職員を中心とした全教職員</w:t>
            </w:r>
          </w:p>
        </w:tc>
      </w:tr>
      <w:tr w:rsidR="00F847B9" w:rsidRPr="003418B5" w:rsidTr="00F847B9">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lastRenderedPageBreak/>
              <w:t>本年度の</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6CC" w:rsidRPr="00F846CC" w:rsidRDefault="00F846CC" w:rsidP="00F846CC">
            <w:pPr>
              <w:widowControl/>
              <w:spacing w:line="280" w:lineRule="exact"/>
              <w:ind w:firstLineChars="100" w:firstLine="200"/>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従来に加え、地域連携職業体験数と参加生徒数を増やし、啓発活動用「配布グッズ」の種類と数を充実させる。警察署・消防署（</w:t>
            </w:r>
            <w:r w:rsidRPr="00F846CC">
              <w:rPr>
                <w:rFonts w:ascii="ＭＳ ゴシック" w:eastAsia="ＭＳ ゴシック" w:hAnsi="ＭＳ ゴシック" w:cs="ＭＳ Ｐゴシック"/>
                <w:kern w:val="0"/>
                <w:sz w:val="20"/>
                <w:szCs w:val="20"/>
              </w:rPr>
              <w:t>AED）・各官公庁に積極的に働きかけ、様々な啓発活動をおこない、 活動内容も充実させ、「啓発プロジェクト」を完成させる。</w:t>
            </w:r>
          </w:p>
          <w:p w:rsidR="00F847B9" w:rsidRPr="003418B5" w:rsidRDefault="00F846CC" w:rsidP="00F846CC">
            <w:pPr>
              <w:widowControl/>
              <w:spacing w:line="280" w:lineRule="exact"/>
              <w:ind w:firstLineChars="100" w:firstLine="200"/>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また、「定時制」ならではの朝から夕方までの時間帯を活用した職業体験を行い、地域とともに様々な「啓発活動」に対応出来る体制を作る。プロジェクト参加生徒の増加により配布グッズの増加が見込まれ、生徒の自己有用感も高まり、結果として中途退学率の減少、</w:t>
            </w:r>
            <w:r w:rsidRPr="00F846CC">
              <w:rPr>
                <w:rFonts w:ascii="ＭＳ ゴシック" w:eastAsia="ＭＳ ゴシック" w:hAnsi="ＭＳ ゴシック" w:cs="ＭＳ Ｐゴシック"/>
                <w:kern w:val="0"/>
                <w:sz w:val="20"/>
                <w:szCs w:val="20"/>
              </w:rPr>
              <w:t xml:space="preserve"> 不登校生徒の減少、進級卒業率の向上につなげて、生徒の希望する進路を実現させる。</w:t>
            </w:r>
          </w:p>
        </w:tc>
      </w:tr>
      <w:tr w:rsidR="00F847B9" w:rsidRPr="003418B5" w:rsidTr="00F847B9">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成果の検証方法</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414927" w:rsidP="00414927">
            <w:pPr>
              <w:pStyle w:val="a3"/>
              <w:widowControl/>
              <w:spacing w:line="280" w:lineRule="exact"/>
              <w:ind w:leftChars="0" w:left="465" w:hanging="372"/>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１</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「学校へ行くのが楽しい」「この学校には他の学校にない特色がある」「地場産業について学び、体験する機会が多い」（学校教育診断）</w:t>
            </w:r>
            <w:r w:rsidR="00F846CC">
              <w:rPr>
                <w:rFonts w:ascii="ＭＳ ゴシック" w:eastAsia="ＭＳ ゴシック" w:hAnsi="ＭＳ ゴシック" w:cs="ＭＳ Ｐゴシック"/>
                <w:kern w:val="0"/>
                <w:sz w:val="20"/>
                <w:szCs w:val="20"/>
              </w:rPr>
              <w:t>70</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以上</w:t>
            </w:r>
          </w:p>
          <w:p w:rsidR="00F847B9" w:rsidRPr="003418B5" w:rsidRDefault="00414927" w:rsidP="00B74385">
            <w:pPr>
              <w:pStyle w:val="a3"/>
              <w:widowControl/>
              <w:spacing w:line="280" w:lineRule="exact"/>
              <w:ind w:leftChars="0" w:left="465" w:hanging="372"/>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２</w:t>
            </w:r>
            <w:r w:rsidRPr="003418B5">
              <w:rPr>
                <w:rFonts w:ascii="ＭＳ ゴシック" w:eastAsia="ＭＳ ゴシック" w:hAnsi="ＭＳ ゴシック" w:cs="ＭＳ Ｐゴシック"/>
                <w:kern w:val="0"/>
                <w:sz w:val="20"/>
                <w:szCs w:val="20"/>
              </w:rPr>
              <w:tab/>
            </w:r>
            <w:r w:rsidRPr="003418B5">
              <w:rPr>
                <w:rFonts w:ascii="ＭＳ ゴシック" w:eastAsia="ＭＳ ゴシック" w:hAnsi="ＭＳ ゴシック" w:cs="ＭＳ Ｐゴシック" w:hint="eastAsia"/>
                <w:kern w:val="0"/>
                <w:sz w:val="20"/>
                <w:szCs w:val="20"/>
              </w:rPr>
              <w:t>退学率</w:t>
            </w:r>
            <w:r w:rsidR="00F846CC">
              <w:rPr>
                <w:rFonts w:ascii="ＭＳ ゴシック" w:eastAsia="ＭＳ ゴシック" w:hAnsi="ＭＳ ゴシック" w:cs="ＭＳ Ｐゴシック" w:hint="eastAsia"/>
                <w:kern w:val="0"/>
                <w:sz w:val="20"/>
                <w:szCs w:val="20"/>
              </w:rPr>
              <w:t>９</w:t>
            </w:r>
            <w:r w:rsidR="00F846CC" w:rsidRPr="00F846CC">
              <w:rPr>
                <w:rFonts w:ascii="ＭＳ ゴシック" w:eastAsia="ＭＳ ゴシック" w:hAnsi="ＭＳ ゴシック" w:cs="ＭＳ Ｐゴシック"/>
                <w:kern w:val="0"/>
                <w:sz w:val="20"/>
                <w:szCs w:val="20"/>
              </w:rPr>
              <w:t>％台の維持</w:t>
            </w:r>
            <w:r w:rsidRPr="003418B5">
              <w:rPr>
                <w:rFonts w:ascii="ＭＳ ゴシック" w:eastAsia="ＭＳ ゴシック" w:hAnsi="ＭＳ ゴシック" w:cs="ＭＳ Ｐゴシック" w:hint="eastAsia"/>
                <w:kern w:val="0"/>
                <w:sz w:val="20"/>
                <w:szCs w:val="20"/>
              </w:rPr>
              <w:t>、</w:t>
            </w:r>
            <w:r w:rsidR="00F846CC">
              <w:rPr>
                <w:rFonts w:ascii="ＭＳ ゴシック" w:eastAsia="ＭＳ ゴシック" w:hAnsi="ＭＳ ゴシック" w:cs="ＭＳ Ｐゴシック" w:hint="eastAsia"/>
                <w:kern w:val="0"/>
                <w:sz w:val="20"/>
                <w:szCs w:val="20"/>
              </w:rPr>
              <w:t>１</w:t>
            </w:r>
            <w:r w:rsidR="00F847B9" w:rsidRPr="003418B5">
              <w:rPr>
                <w:rFonts w:ascii="ＭＳ ゴシック" w:eastAsia="ＭＳ ゴシック" w:hAnsi="ＭＳ ゴシック" w:cs="ＭＳ Ｐゴシック" w:hint="eastAsia"/>
                <w:kern w:val="0"/>
                <w:sz w:val="20"/>
                <w:szCs w:val="20"/>
              </w:rPr>
              <w:t>年生の進級率（</w:t>
            </w:r>
            <w:r w:rsidR="00F846CC">
              <w:rPr>
                <w:rFonts w:ascii="ＭＳ ゴシック" w:eastAsia="ＭＳ ゴシック" w:hAnsi="ＭＳ ゴシック" w:cs="ＭＳ Ｐゴシック"/>
                <w:kern w:val="0"/>
                <w:sz w:val="20"/>
                <w:szCs w:val="20"/>
              </w:rPr>
              <w:t>70</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以上）、学校全体の進級卒業率（</w:t>
            </w:r>
            <w:r w:rsidR="00F846CC">
              <w:rPr>
                <w:rFonts w:ascii="ＭＳ ゴシック" w:eastAsia="ＭＳ ゴシック" w:hAnsi="ＭＳ ゴシック" w:cs="ＭＳ Ｐゴシック" w:hint="eastAsia"/>
                <w:kern w:val="0"/>
                <w:sz w:val="20"/>
                <w:szCs w:val="20"/>
              </w:rPr>
              <w:t>8</w:t>
            </w:r>
            <w:r w:rsidR="00F846CC">
              <w:rPr>
                <w:rFonts w:ascii="ＭＳ ゴシック" w:eastAsia="ＭＳ ゴシック" w:hAnsi="ＭＳ ゴシック" w:cs="ＭＳ Ｐゴシック"/>
                <w:kern w:val="0"/>
                <w:sz w:val="20"/>
                <w:szCs w:val="20"/>
              </w:rPr>
              <w:t>0</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以上）</w:t>
            </w:r>
          </w:p>
          <w:p w:rsidR="00F846CC" w:rsidRPr="00F846CC" w:rsidRDefault="00414927" w:rsidP="00F846CC">
            <w:pPr>
              <w:pStyle w:val="a3"/>
              <w:widowControl/>
              <w:spacing w:line="280" w:lineRule="exact"/>
              <w:ind w:leftChars="0" w:left="465" w:hanging="372"/>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３</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全プロジェクトへの参加生徒</w:t>
            </w:r>
            <w:r w:rsidR="00F846CC">
              <w:rPr>
                <w:rFonts w:ascii="ＭＳ ゴシック" w:eastAsia="ＭＳ ゴシック" w:hAnsi="ＭＳ ゴシック" w:cs="ＭＳ Ｐゴシック"/>
                <w:kern w:val="0"/>
                <w:sz w:val="20"/>
                <w:szCs w:val="20"/>
              </w:rPr>
              <w:t>50</w:t>
            </w:r>
            <w:r w:rsidR="001B3075" w:rsidRPr="003418B5">
              <w:rPr>
                <w:rFonts w:ascii="ＭＳ ゴシック" w:eastAsia="ＭＳ ゴシック" w:hAnsi="ＭＳ ゴシック" w:cs="ＭＳ Ｐゴシック" w:hint="eastAsia"/>
                <w:kern w:val="0"/>
                <w:sz w:val="20"/>
                <w:szCs w:val="20"/>
              </w:rPr>
              <w:t>％</w:t>
            </w:r>
            <w:r w:rsidR="00F846CC">
              <w:rPr>
                <w:rFonts w:ascii="ＭＳ ゴシック" w:eastAsia="ＭＳ ゴシック" w:hAnsi="ＭＳ ゴシック" w:cs="ＭＳ Ｐゴシック" w:hint="eastAsia"/>
                <w:kern w:val="0"/>
                <w:sz w:val="20"/>
                <w:szCs w:val="20"/>
              </w:rPr>
              <w:t>、</w:t>
            </w:r>
            <w:r w:rsidR="00F846CC" w:rsidRPr="00F846CC">
              <w:rPr>
                <w:rFonts w:ascii="ＭＳ ゴシック" w:eastAsia="ＭＳ ゴシック" w:hAnsi="ＭＳ ゴシック" w:cs="ＭＳ Ｐゴシック" w:hint="eastAsia"/>
                <w:kern w:val="0"/>
                <w:sz w:val="20"/>
                <w:szCs w:val="20"/>
              </w:rPr>
              <w:t>「啓発プロジェクト」プログラムの完成</w:t>
            </w:r>
          </w:p>
        </w:tc>
      </w:tr>
      <w:tr w:rsidR="00F847B9" w:rsidRPr="003418B5" w:rsidTr="00F05F9C">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414927" w:rsidP="00F846CC">
            <w:pPr>
              <w:pStyle w:val="a3"/>
              <w:widowControl/>
              <w:tabs>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１</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spacing w:val="-6"/>
                <w:kern w:val="0"/>
                <w:sz w:val="20"/>
                <w:szCs w:val="20"/>
              </w:rPr>
              <w:t>「学校へ行くのが楽しい」</w:t>
            </w:r>
            <w:r w:rsidR="00F846CC">
              <w:rPr>
                <w:rFonts w:ascii="ＭＳ ゴシック" w:eastAsia="ＭＳ ゴシック" w:hAnsi="ＭＳ ゴシック" w:cs="ＭＳ Ｐゴシック" w:hint="eastAsia"/>
                <w:spacing w:val="-6"/>
                <w:kern w:val="0"/>
                <w:sz w:val="20"/>
                <w:szCs w:val="20"/>
              </w:rPr>
              <w:t>6</w:t>
            </w:r>
            <w:r w:rsidR="00F846CC">
              <w:rPr>
                <w:rFonts w:ascii="ＭＳ ゴシック" w:eastAsia="ＭＳ ゴシック" w:hAnsi="ＭＳ ゴシック" w:cs="ＭＳ Ｐゴシック"/>
                <w:spacing w:val="-6"/>
                <w:kern w:val="0"/>
                <w:sz w:val="20"/>
                <w:szCs w:val="20"/>
              </w:rPr>
              <w:t>8</w:t>
            </w:r>
            <w:r w:rsidR="00F846CC">
              <w:rPr>
                <w:rFonts w:ascii="ＭＳ ゴシック" w:eastAsia="ＭＳ ゴシック" w:hAnsi="ＭＳ ゴシック" w:cs="ＭＳ Ｐゴシック" w:hint="eastAsia"/>
                <w:spacing w:val="-6"/>
                <w:kern w:val="0"/>
                <w:sz w:val="20"/>
                <w:szCs w:val="20"/>
              </w:rPr>
              <w:t>％、</w:t>
            </w:r>
            <w:r w:rsidR="00F847B9" w:rsidRPr="003418B5">
              <w:rPr>
                <w:rFonts w:ascii="ＭＳ ゴシック" w:eastAsia="ＭＳ ゴシック" w:hAnsi="ＭＳ ゴシック" w:cs="ＭＳ Ｐゴシック" w:hint="eastAsia"/>
                <w:spacing w:val="-6"/>
                <w:kern w:val="0"/>
                <w:sz w:val="20"/>
                <w:szCs w:val="20"/>
              </w:rPr>
              <w:t>「この学校には他の学校にない特色がある」</w:t>
            </w:r>
            <w:r w:rsidR="00F846CC">
              <w:rPr>
                <w:rFonts w:ascii="ＭＳ ゴシック" w:eastAsia="ＭＳ ゴシック" w:hAnsi="ＭＳ ゴシック" w:cs="ＭＳ Ｐゴシック" w:hint="eastAsia"/>
                <w:spacing w:val="-6"/>
                <w:kern w:val="0"/>
                <w:sz w:val="20"/>
                <w:szCs w:val="20"/>
              </w:rPr>
              <w:t>7</w:t>
            </w:r>
            <w:r w:rsidR="00F846CC">
              <w:rPr>
                <w:rFonts w:ascii="ＭＳ ゴシック" w:eastAsia="ＭＳ ゴシック" w:hAnsi="ＭＳ ゴシック" w:cs="ＭＳ Ｐゴシック"/>
                <w:spacing w:val="-6"/>
                <w:kern w:val="0"/>
                <w:sz w:val="20"/>
                <w:szCs w:val="20"/>
              </w:rPr>
              <w:t>5</w:t>
            </w:r>
            <w:r w:rsidR="00F846CC">
              <w:rPr>
                <w:rFonts w:ascii="ＭＳ ゴシック" w:eastAsia="ＭＳ ゴシック" w:hAnsi="ＭＳ ゴシック" w:cs="ＭＳ Ｐゴシック" w:hint="eastAsia"/>
                <w:spacing w:val="-6"/>
                <w:kern w:val="0"/>
                <w:sz w:val="20"/>
                <w:szCs w:val="20"/>
              </w:rPr>
              <w:t>％、</w:t>
            </w:r>
            <w:r w:rsidR="00F847B9" w:rsidRPr="003418B5">
              <w:rPr>
                <w:rFonts w:ascii="ＭＳ ゴシック" w:eastAsia="ＭＳ ゴシック" w:hAnsi="ＭＳ ゴシック" w:cs="ＭＳ Ｐゴシック" w:hint="eastAsia"/>
                <w:spacing w:val="-6"/>
                <w:kern w:val="0"/>
                <w:sz w:val="20"/>
                <w:szCs w:val="20"/>
              </w:rPr>
              <w:t>「地場産業について学び、体験する機会が多い」</w:t>
            </w:r>
            <w:r w:rsidR="00F846CC">
              <w:rPr>
                <w:rFonts w:ascii="ＭＳ ゴシック" w:eastAsia="ＭＳ ゴシック" w:hAnsi="ＭＳ ゴシック" w:cs="ＭＳ Ｐゴシック" w:hint="eastAsia"/>
                <w:spacing w:val="-6"/>
                <w:kern w:val="0"/>
                <w:sz w:val="20"/>
                <w:szCs w:val="20"/>
              </w:rPr>
              <w:t>6</w:t>
            </w:r>
            <w:r w:rsidR="00F846CC">
              <w:rPr>
                <w:rFonts w:ascii="ＭＳ ゴシック" w:eastAsia="ＭＳ ゴシック" w:hAnsi="ＭＳ ゴシック" w:cs="ＭＳ Ｐゴシック"/>
                <w:spacing w:val="-6"/>
                <w:kern w:val="0"/>
                <w:sz w:val="20"/>
                <w:szCs w:val="20"/>
              </w:rPr>
              <w:t>7</w:t>
            </w:r>
            <w:r w:rsidR="00F846CC">
              <w:rPr>
                <w:rFonts w:ascii="ＭＳ ゴシック" w:eastAsia="ＭＳ ゴシック" w:hAnsi="ＭＳ ゴシック" w:cs="ＭＳ Ｐゴシック" w:hint="eastAsia"/>
                <w:spacing w:val="-6"/>
                <w:kern w:val="0"/>
                <w:sz w:val="20"/>
                <w:szCs w:val="20"/>
              </w:rPr>
              <w:t>％</w:t>
            </w:r>
            <w:r w:rsidR="00F846CC" w:rsidRPr="00F846CC">
              <w:rPr>
                <w:rFonts w:ascii="ＭＳ ゴシック" w:eastAsia="ＭＳ ゴシック" w:hAnsi="ＭＳ ゴシック" w:cs="ＭＳ Ｐゴシック" w:hint="eastAsia"/>
                <w:spacing w:val="-6"/>
                <w:kern w:val="0"/>
                <w:sz w:val="20"/>
                <w:szCs w:val="20"/>
              </w:rPr>
              <w:t>で、肯定率の平均が</w:t>
            </w:r>
            <w:r w:rsidR="00F846CC" w:rsidRPr="00F846CC">
              <w:rPr>
                <w:rFonts w:ascii="ＭＳ ゴシック" w:eastAsia="ＭＳ ゴシック" w:hAnsi="ＭＳ ゴシック" w:cs="ＭＳ Ｐゴシック"/>
                <w:spacing w:val="-6"/>
                <w:kern w:val="0"/>
                <w:sz w:val="20"/>
                <w:szCs w:val="20"/>
              </w:rPr>
              <w:t>70％であった。目標の70%</w:t>
            </w:r>
            <w:r w:rsidR="00E80DB3">
              <w:rPr>
                <w:rFonts w:ascii="ＭＳ ゴシック" w:eastAsia="ＭＳ ゴシック" w:hAnsi="ＭＳ ゴシック" w:cs="ＭＳ Ｐゴシック"/>
                <w:spacing w:val="-6"/>
                <w:kern w:val="0"/>
                <w:sz w:val="20"/>
                <w:szCs w:val="20"/>
              </w:rPr>
              <w:t>以上を</w:t>
            </w:r>
            <w:r w:rsidR="00E80DB3">
              <w:rPr>
                <w:rFonts w:ascii="ＭＳ ゴシック" w:eastAsia="ＭＳ ゴシック" w:hAnsi="ＭＳ ゴシック" w:cs="ＭＳ Ｐゴシック" w:hint="eastAsia"/>
                <w:spacing w:val="-6"/>
                <w:kern w:val="0"/>
                <w:sz w:val="20"/>
                <w:szCs w:val="20"/>
              </w:rPr>
              <w:t>達成</w:t>
            </w:r>
            <w:r w:rsidR="00F846CC" w:rsidRPr="00F846CC">
              <w:rPr>
                <w:rFonts w:ascii="ＭＳ ゴシック" w:eastAsia="ＭＳ ゴシック" w:hAnsi="ＭＳ ゴシック" w:cs="ＭＳ Ｐゴシック"/>
                <w:spacing w:val="-6"/>
                <w:kern w:val="0"/>
                <w:sz w:val="20"/>
                <w:szCs w:val="20"/>
              </w:rPr>
              <w:t>した</w:t>
            </w:r>
            <w:r w:rsidR="00F846CC">
              <w:rPr>
                <w:rFonts w:ascii="ＭＳ ゴシック" w:eastAsia="ＭＳ ゴシック" w:hAnsi="ＭＳ ゴシック" w:cs="ＭＳ Ｐゴシック" w:hint="eastAsia"/>
                <w:spacing w:val="-6"/>
                <w:kern w:val="0"/>
                <w:sz w:val="20"/>
                <w:szCs w:val="20"/>
              </w:rPr>
              <w:t>。</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w:t>
            </w:r>
          </w:p>
          <w:p w:rsidR="00820EB5" w:rsidRPr="00F846CC" w:rsidRDefault="00414927" w:rsidP="00F846CC">
            <w:pPr>
              <w:pStyle w:val="a3"/>
              <w:widowControl/>
              <w:tabs>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２</w:t>
            </w:r>
            <w:r w:rsidRPr="003418B5">
              <w:rPr>
                <w:rFonts w:ascii="ＭＳ ゴシック" w:eastAsia="ＭＳ ゴシック" w:hAnsi="ＭＳ ゴシック" w:cs="ＭＳ Ｐゴシック"/>
                <w:kern w:val="0"/>
                <w:sz w:val="20"/>
                <w:szCs w:val="20"/>
              </w:rPr>
              <w:tab/>
            </w:r>
            <w:r w:rsidR="00F846CC" w:rsidRPr="00F846CC">
              <w:rPr>
                <w:rFonts w:ascii="ＭＳ ゴシック" w:eastAsia="ＭＳ ゴシック" w:hAnsi="ＭＳ ゴシック" w:cs="ＭＳ Ｐゴシック" w:hint="eastAsia"/>
                <w:kern w:val="0"/>
                <w:sz w:val="20"/>
                <w:szCs w:val="20"/>
              </w:rPr>
              <w:t>退学率</w:t>
            </w:r>
            <w:r w:rsidR="00F846CC">
              <w:rPr>
                <w:rFonts w:ascii="ＭＳ ゴシック" w:eastAsia="ＭＳ ゴシック" w:hAnsi="ＭＳ ゴシック" w:cs="ＭＳ Ｐゴシック" w:hint="eastAsia"/>
                <w:kern w:val="0"/>
                <w:sz w:val="20"/>
                <w:szCs w:val="20"/>
              </w:rPr>
              <w:t>９</w:t>
            </w:r>
            <w:r w:rsidR="00F846CC" w:rsidRPr="00F846CC">
              <w:rPr>
                <w:rFonts w:ascii="ＭＳ ゴシック" w:eastAsia="ＭＳ ゴシック" w:hAnsi="ＭＳ ゴシック" w:cs="ＭＳ Ｐゴシック"/>
                <w:kern w:val="0"/>
                <w:sz w:val="20"/>
                <w:szCs w:val="20"/>
              </w:rPr>
              <w:t>％台の維持、</w:t>
            </w:r>
            <w:r w:rsidR="00F846CC">
              <w:rPr>
                <w:rFonts w:ascii="ＭＳ ゴシック" w:eastAsia="ＭＳ ゴシック" w:hAnsi="ＭＳ ゴシック" w:cs="ＭＳ Ｐゴシック" w:hint="eastAsia"/>
                <w:kern w:val="0"/>
                <w:sz w:val="20"/>
                <w:szCs w:val="20"/>
              </w:rPr>
              <w:t>１</w:t>
            </w:r>
            <w:r w:rsidR="00F846CC" w:rsidRPr="00F846CC">
              <w:rPr>
                <w:rFonts w:ascii="ＭＳ ゴシック" w:eastAsia="ＭＳ ゴシック" w:hAnsi="ＭＳ ゴシック" w:cs="ＭＳ Ｐゴシック"/>
                <w:kern w:val="0"/>
                <w:sz w:val="20"/>
                <w:szCs w:val="20"/>
              </w:rPr>
              <w:t>年生の進級率（</w:t>
            </w:r>
            <w:r w:rsidR="00F846CC">
              <w:rPr>
                <w:rFonts w:ascii="ＭＳ ゴシック" w:eastAsia="ＭＳ ゴシック" w:hAnsi="ＭＳ ゴシック" w:cs="ＭＳ Ｐゴシック"/>
                <w:kern w:val="0"/>
                <w:sz w:val="20"/>
                <w:szCs w:val="20"/>
              </w:rPr>
              <w:t>70</w:t>
            </w:r>
            <w:r w:rsidR="00F846CC">
              <w:rPr>
                <w:rFonts w:ascii="ＭＳ ゴシック" w:eastAsia="ＭＳ ゴシック" w:hAnsi="ＭＳ ゴシック" w:cs="ＭＳ Ｐゴシック" w:hint="eastAsia"/>
                <w:kern w:val="0"/>
                <w:sz w:val="20"/>
                <w:szCs w:val="20"/>
              </w:rPr>
              <w:t>％</w:t>
            </w:r>
            <w:r w:rsidR="00F846CC" w:rsidRPr="00F846CC">
              <w:rPr>
                <w:rFonts w:ascii="ＭＳ ゴシック" w:eastAsia="ＭＳ ゴシック" w:hAnsi="ＭＳ ゴシック" w:cs="ＭＳ Ｐゴシック"/>
                <w:kern w:val="0"/>
                <w:sz w:val="20"/>
                <w:szCs w:val="20"/>
              </w:rPr>
              <w:t>以上）、学校全体の進級卒業率（</w:t>
            </w:r>
            <w:r w:rsidR="00F846CC">
              <w:rPr>
                <w:rFonts w:ascii="ＭＳ ゴシック" w:eastAsia="ＭＳ ゴシック" w:hAnsi="ＭＳ ゴシック" w:cs="ＭＳ Ｐゴシック"/>
                <w:kern w:val="0"/>
                <w:sz w:val="20"/>
                <w:szCs w:val="20"/>
              </w:rPr>
              <w:t>80</w:t>
            </w:r>
            <w:r w:rsidR="00F846CC">
              <w:rPr>
                <w:rFonts w:ascii="ＭＳ ゴシック" w:eastAsia="ＭＳ ゴシック" w:hAnsi="ＭＳ ゴシック" w:cs="ＭＳ Ｐゴシック" w:hint="eastAsia"/>
                <w:kern w:val="0"/>
                <w:sz w:val="20"/>
                <w:szCs w:val="20"/>
              </w:rPr>
              <w:t>％</w:t>
            </w:r>
            <w:r w:rsidR="00F846CC" w:rsidRPr="00F846CC">
              <w:rPr>
                <w:rFonts w:ascii="ＭＳ ゴシック" w:eastAsia="ＭＳ ゴシック" w:hAnsi="ＭＳ ゴシック" w:cs="ＭＳ Ｐゴシック"/>
                <w:kern w:val="0"/>
                <w:sz w:val="20"/>
                <w:szCs w:val="20"/>
              </w:rPr>
              <w:t>以上）を目標としたが、退学率</w:t>
            </w:r>
            <w:r w:rsidR="00F846CC">
              <w:rPr>
                <w:rFonts w:ascii="ＭＳ ゴシック" w:eastAsia="ＭＳ ゴシック" w:hAnsi="ＭＳ ゴシック" w:cs="ＭＳ Ｐゴシック" w:hint="eastAsia"/>
                <w:kern w:val="0"/>
                <w:sz w:val="20"/>
                <w:szCs w:val="20"/>
              </w:rPr>
              <w:t>5</w:t>
            </w:r>
            <w:r w:rsidR="00F846CC">
              <w:rPr>
                <w:rFonts w:ascii="ＭＳ ゴシック" w:eastAsia="ＭＳ ゴシック" w:hAnsi="ＭＳ ゴシック" w:cs="ＭＳ Ｐゴシック"/>
                <w:kern w:val="0"/>
                <w:sz w:val="20"/>
                <w:szCs w:val="20"/>
              </w:rPr>
              <w:t>.1</w:t>
            </w:r>
            <w:r w:rsidR="00F846CC" w:rsidRPr="00F846CC">
              <w:rPr>
                <w:rFonts w:ascii="ＭＳ ゴシック" w:eastAsia="ＭＳ ゴシック" w:hAnsi="ＭＳ ゴシック" w:cs="ＭＳ Ｐゴシック"/>
                <w:kern w:val="0"/>
                <w:sz w:val="20"/>
                <w:szCs w:val="20"/>
              </w:rPr>
              <w:t>％、</w:t>
            </w:r>
            <w:r w:rsidR="00F846CC">
              <w:rPr>
                <w:rFonts w:ascii="ＭＳ ゴシック" w:eastAsia="ＭＳ ゴシック" w:hAnsi="ＭＳ ゴシック" w:cs="ＭＳ Ｐゴシック" w:hint="eastAsia"/>
                <w:kern w:val="0"/>
                <w:sz w:val="20"/>
                <w:szCs w:val="20"/>
              </w:rPr>
              <w:t>１</w:t>
            </w:r>
            <w:r w:rsidR="00F846CC" w:rsidRPr="00F846CC">
              <w:rPr>
                <w:rFonts w:ascii="ＭＳ ゴシック" w:eastAsia="ＭＳ ゴシック" w:hAnsi="ＭＳ ゴシック" w:cs="ＭＳ Ｐゴシック"/>
                <w:kern w:val="0"/>
                <w:sz w:val="20"/>
                <w:szCs w:val="20"/>
              </w:rPr>
              <w:t>年生の進級率81.8％、学校全体の進級卒業率88.6％と大幅に上回った</w:t>
            </w:r>
            <w:r w:rsidR="00F846CC">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kern w:val="0"/>
                <w:sz w:val="20"/>
                <w:szCs w:val="20"/>
              </w:rPr>
              <w:tab/>
            </w:r>
            <w:r w:rsidR="00CD569A" w:rsidRPr="003418B5">
              <w:rPr>
                <w:rFonts w:ascii="ＭＳ ゴシック" w:eastAsia="ＭＳ ゴシック" w:hAnsi="ＭＳ ゴシック" w:cs="ＭＳ Ｐゴシック" w:hint="eastAsia"/>
                <w:kern w:val="0"/>
                <w:sz w:val="20"/>
                <w:szCs w:val="20"/>
              </w:rPr>
              <w:t>（</w:t>
            </w:r>
            <w:r w:rsidR="00784234" w:rsidRPr="003418B5">
              <w:rPr>
                <w:rFonts w:ascii="ＭＳ ゴシック" w:eastAsia="ＭＳ ゴシック" w:hAnsi="ＭＳ ゴシック" w:cs="ＭＳ Ｐゴシック" w:hint="eastAsia"/>
                <w:kern w:val="0"/>
                <w:sz w:val="20"/>
                <w:szCs w:val="20"/>
              </w:rPr>
              <w:t>◎</w:t>
            </w:r>
            <w:r w:rsidR="00CD569A" w:rsidRPr="003418B5">
              <w:rPr>
                <w:rFonts w:ascii="ＭＳ ゴシック" w:eastAsia="ＭＳ ゴシック" w:hAnsi="ＭＳ ゴシック" w:cs="ＭＳ Ｐゴシック" w:hint="eastAsia"/>
                <w:kern w:val="0"/>
                <w:sz w:val="20"/>
                <w:szCs w:val="20"/>
              </w:rPr>
              <w:t>）</w:t>
            </w:r>
          </w:p>
          <w:p w:rsidR="00F847B9" w:rsidRPr="003418B5" w:rsidRDefault="00414927" w:rsidP="00F846CC">
            <w:pPr>
              <w:pStyle w:val="a3"/>
              <w:widowControl/>
              <w:tabs>
                <w:tab w:val="left" w:leader="middleDot" w:pos="7626"/>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３</w:t>
            </w:r>
            <w:r w:rsidR="00F846CC">
              <w:rPr>
                <w:rFonts w:ascii="ＭＳ ゴシック" w:eastAsia="ＭＳ ゴシック" w:hAnsi="ＭＳ ゴシック" w:cs="ＭＳ Ｐゴシック" w:hint="eastAsia"/>
                <w:kern w:val="0"/>
                <w:sz w:val="20"/>
                <w:szCs w:val="20"/>
              </w:rPr>
              <w:t xml:space="preserve">　</w:t>
            </w:r>
            <w:r w:rsidR="00F846CC" w:rsidRPr="00F846CC">
              <w:rPr>
                <w:rFonts w:ascii="ＭＳ ゴシック" w:eastAsia="ＭＳ ゴシック" w:hAnsi="ＭＳ ゴシック" w:cs="ＭＳ Ｐゴシック" w:hint="eastAsia"/>
                <w:kern w:val="0"/>
                <w:sz w:val="20"/>
                <w:szCs w:val="20"/>
              </w:rPr>
              <w:t>全プロジェクトへの参加生徒</w:t>
            </w:r>
            <w:r w:rsidR="00E80DB3">
              <w:rPr>
                <w:rFonts w:ascii="ＭＳ ゴシック" w:eastAsia="ＭＳ ゴシック" w:hAnsi="ＭＳ ゴシック" w:cs="ＭＳ Ｐゴシック"/>
                <w:kern w:val="0"/>
                <w:sz w:val="20"/>
                <w:szCs w:val="20"/>
              </w:rPr>
              <w:t>50</w:t>
            </w:r>
            <w:r w:rsidR="00E80DB3">
              <w:rPr>
                <w:rFonts w:ascii="ＭＳ ゴシック" w:eastAsia="ＭＳ ゴシック" w:hAnsi="ＭＳ ゴシック" w:cs="ＭＳ Ｐゴシック" w:hint="eastAsia"/>
                <w:kern w:val="0"/>
                <w:sz w:val="20"/>
                <w:szCs w:val="20"/>
              </w:rPr>
              <w:t>％を達成</w:t>
            </w:r>
            <w:r w:rsidR="00F846CC" w:rsidRPr="00F846CC">
              <w:rPr>
                <w:rFonts w:ascii="ＭＳ ゴシック" w:eastAsia="ＭＳ ゴシック" w:hAnsi="ＭＳ ゴシック" w:cs="ＭＳ Ｐゴシック"/>
                <w:kern w:val="0"/>
                <w:sz w:val="20"/>
                <w:szCs w:val="20"/>
              </w:rPr>
              <w:t>した。</w:t>
            </w:r>
            <w:r w:rsidR="00820EB5"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w:t>
            </w:r>
            <w:r w:rsidR="00784234"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w:t>
            </w:r>
          </w:p>
        </w:tc>
      </w:tr>
      <w:tr w:rsidR="00F847B9" w:rsidRPr="003418B5" w:rsidTr="00F847B9">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E80DB3" w:rsidP="00F847B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6CC" w:rsidRPr="00F846CC" w:rsidRDefault="00F846CC" w:rsidP="00F846CC">
            <w:pPr>
              <w:widowControl/>
              <w:spacing w:line="280" w:lineRule="exact"/>
              <w:ind w:firstLineChars="100" w:firstLine="200"/>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地域連携職業体験数と参加生徒数を増やし、啓発活動用「配布グッズ」の種類と数を充実させることが出来た。</w:t>
            </w:r>
          </w:p>
          <w:p w:rsidR="00F846CC" w:rsidRPr="00F846CC" w:rsidRDefault="00F846CC" w:rsidP="00F846CC">
            <w:pPr>
              <w:widowControl/>
              <w:spacing w:line="280" w:lineRule="exact"/>
              <w:ind w:firstLineChars="100" w:firstLine="200"/>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医療従事者・日本赤十字社（献血）・警察署・消防署（</w:t>
            </w:r>
            <w:r w:rsidRPr="00F846CC">
              <w:rPr>
                <w:rFonts w:ascii="ＭＳ ゴシック" w:eastAsia="ＭＳ ゴシック" w:hAnsi="ＭＳ ゴシック" w:cs="ＭＳ Ｐゴシック"/>
                <w:kern w:val="0"/>
                <w:sz w:val="20"/>
                <w:szCs w:val="20"/>
              </w:rPr>
              <w:t xml:space="preserve">AED）・各官公庁に積極的に働きかけ、様々な啓発活動をおこない、 </w:t>
            </w:r>
            <w:r w:rsidR="00CC47E9">
              <w:rPr>
                <w:rFonts w:ascii="ＭＳ ゴシック" w:eastAsia="ＭＳ ゴシック" w:hAnsi="ＭＳ ゴシック" w:cs="ＭＳ Ｐゴシック"/>
                <w:kern w:val="0"/>
                <w:sz w:val="20"/>
                <w:szCs w:val="20"/>
              </w:rPr>
              <w:t>活動内容も充実させ、「啓発プロジェクト」を完成させることが</w:t>
            </w:r>
            <w:r w:rsidR="00CC47E9">
              <w:rPr>
                <w:rFonts w:ascii="ＭＳ ゴシック" w:eastAsia="ＭＳ ゴシック" w:hAnsi="ＭＳ ゴシック" w:cs="ＭＳ Ｐゴシック" w:hint="eastAsia"/>
                <w:kern w:val="0"/>
                <w:sz w:val="20"/>
                <w:szCs w:val="20"/>
              </w:rPr>
              <w:t>でき</w:t>
            </w:r>
            <w:r w:rsidRPr="00F846CC">
              <w:rPr>
                <w:rFonts w:ascii="ＭＳ ゴシック" w:eastAsia="ＭＳ ゴシック" w:hAnsi="ＭＳ ゴシック" w:cs="ＭＳ Ｐゴシック"/>
                <w:kern w:val="0"/>
                <w:sz w:val="20"/>
                <w:szCs w:val="20"/>
              </w:rPr>
              <w:t>た。</w:t>
            </w:r>
          </w:p>
          <w:p w:rsidR="00F847B9" w:rsidRPr="003418B5" w:rsidRDefault="00F846CC" w:rsidP="00CC47E9">
            <w:pPr>
              <w:widowControl/>
              <w:spacing w:line="280" w:lineRule="exact"/>
              <w:ind w:firstLineChars="100" w:firstLine="200"/>
              <w:rPr>
                <w:rFonts w:ascii="ＭＳ ゴシック" w:eastAsia="ＭＳ ゴシック" w:hAnsi="ＭＳ ゴシック" w:cs="ＭＳ Ｐゴシック"/>
                <w:kern w:val="0"/>
                <w:sz w:val="20"/>
                <w:szCs w:val="20"/>
              </w:rPr>
            </w:pPr>
            <w:r w:rsidRPr="00F846CC">
              <w:rPr>
                <w:rFonts w:ascii="ＭＳ ゴシック" w:eastAsia="ＭＳ ゴシック" w:hAnsi="ＭＳ ゴシック" w:cs="ＭＳ Ｐゴシック" w:hint="eastAsia"/>
                <w:kern w:val="0"/>
                <w:sz w:val="20"/>
                <w:szCs w:val="20"/>
              </w:rPr>
              <w:t>また、「定時制</w:t>
            </w:r>
            <w:r w:rsidR="00CC47E9">
              <w:rPr>
                <w:rFonts w:ascii="ＭＳ ゴシック" w:eastAsia="ＭＳ ゴシック" w:hAnsi="ＭＳ ゴシック" w:cs="ＭＳ Ｐゴシック" w:hint="eastAsia"/>
                <w:kern w:val="0"/>
                <w:sz w:val="20"/>
                <w:szCs w:val="20"/>
              </w:rPr>
              <w:t>の課程</w:t>
            </w:r>
            <w:r w:rsidRPr="00F846CC">
              <w:rPr>
                <w:rFonts w:ascii="ＭＳ ゴシック" w:eastAsia="ＭＳ ゴシック" w:hAnsi="ＭＳ ゴシック" w:cs="ＭＳ Ｐゴシック" w:hint="eastAsia"/>
                <w:kern w:val="0"/>
                <w:sz w:val="20"/>
                <w:szCs w:val="20"/>
              </w:rPr>
              <w:t>」</w:t>
            </w:r>
            <w:r w:rsidR="00CC47E9">
              <w:rPr>
                <w:rFonts w:ascii="ＭＳ ゴシック" w:eastAsia="ＭＳ ゴシック" w:hAnsi="ＭＳ ゴシック" w:cs="ＭＳ Ｐゴシック" w:hint="eastAsia"/>
                <w:kern w:val="0"/>
                <w:sz w:val="20"/>
                <w:szCs w:val="20"/>
              </w:rPr>
              <w:t>の特徴を活かして朝から夕方までの時間帯を活用して</w:t>
            </w:r>
            <w:r w:rsidRPr="00F846CC">
              <w:rPr>
                <w:rFonts w:ascii="ＭＳ ゴシック" w:eastAsia="ＭＳ ゴシック" w:hAnsi="ＭＳ ゴシック" w:cs="ＭＳ Ｐゴシック" w:hint="eastAsia"/>
                <w:kern w:val="0"/>
                <w:sz w:val="20"/>
                <w:szCs w:val="20"/>
              </w:rPr>
              <w:t>職業体験を行い、地域とともに様々な「啓発活動」に対応</w:t>
            </w:r>
            <w:r w:rsidR="00CC47E9">
              <w:rPr>
                <w:rFonts w:ascii="ＭＳ ゴシック" w:eastAsia="ＭＳ ゴシック" w:hAnsi="ＭＳ ゴシック" w:cs="ＭＳ Ｐゴシック" w:hint="eastAsia"/>
                <w:kern w:val="0"/>
                <w:sz w:val="20"/>
                <w:szCs w:val="20"/>
              </w:rPr>
              <w:t>す</w:t>
            </w:r>
            <w:r w:rsidRPr="00F846CC">
              <w:rPr>
                <w:rFonts w:ascii="ＭＳ ゴシック" w:eastAsia="ＭＳ ゴシック" w:hAnsi="ＭＳ ゴシック" w:cs="ＭＳ Ｐゴシック" w:hint="eastAsia"/>
                <w:kern w:val="0"/>
                <w:sz w:val="20"/>
                <w:szCs w:val="20"/>
              </w:rPr>
              <w:t>る体制</w:t>
            </w:r>
            <w:r w:rsidR="00CC47E9">
              <w:rPr>
                <w:rFonts w:ascii="ＭＳ ゴシック" w:eastAsia="ＭＳ ゴシック" w:hAnsi="ＭＳ ゴシック" w:cs="ＭＳ Ｐゴシック" w:hint="eastAsia"/>
                <w:kern w:val="0"/>
                <w:sz w:val="20"/>
                <w:szCs w:val="20"/>
              </w:rPr>
              <w:t>を作り、</w:t>
            </w:r>
            <w:r w:rsidRPr="00F846CC">
              <w:rPr>
                <w:rFonts w:ascii="ＭＳ ゴシック" w:eastAsia="ＭＳ ゴシック" w:hAnsi="ＭＳ ゴシック" w:cs="ＭＳ Ｐゴシック" w:hint="eastAsia"/>
                <w:kern w:val="0"/>
                <w:sz w:val="20"/>
                <w:szCs w:val="20"/>
              </w:rPr>
              <w:t>プロジェクト参加生徒の増加に</w:t>
            </w:r>
            <w:r w:rsidR="00CC47E9">
              <w:rPr>
                <w:rFonts w:ascii="ＭＳ ゴシック" w:eastAsia="ＭＳ ゴシック" w:hAnsi="ＭＳ ゴシック" w:cs="ＭＳ Ｐゴシック" w:hint="eastAsia"/>
                <w:kern w:val="0"/>
                <w:sz w:val="20"/>
                <w:szCs w:val="20"/>
              </w:rPr>
              <w:t>つなげることができた。その結果、</w:t>
            </w:r>
            <w:r w:rsidRPr="00F846CC">
              <w:rPr>
                <w:rFonts w:ascii="ＭＳ ゴシック" w:eastAsia="ＭＳ ゴシック" w:hAnsi="ＭＳ ゴシック" w:cs="ＭＳ Ｐゴシック" w:hint="eastAsia"/>
                <w:kern w:val="0"/>
                <w:sz w:val="20"/>
                <w:szCs w:val="20"/>
              </w:rPr>
              <w:t>配布グッズが増加し、生徒の自己有用感</w:t>
            </w:r>
            <w:r w:rsidR="00CC47E9">
              <w:rPr>
                <w:rFonts w:ascii="ＭＳ ゴシック" w:eastAsia="ＭＳ ゴシック" w:hAnsi="ＭＳ ゴシック" w:cs="ＭＳ Ｐゴシック" w:hint="eastAsia"/>
                <w:kern w:val="0"/>
                <w:sz w:val="20"/>
                <w:szCs w:val="20"/>
              </w:rPr>
              <w:t>の向上や</w:t>
            </w:r>
            <w:r w:rsidRPr="00F846CC">
              <w:rPr>
                <w:rFonts w:ascii="ＭＳ ゴシック" w:eastAsia="ＭＳ ゴシック" w:hAnsi="ＭＳ ゴシック" w:cs="ＭＳ Ｐゴシック" w:hint="eastAsia"/>
                <w:kern w:val="0"/>
                <w:sz w:val="20"/>
                <w:szCs w:val="20"/>
              </w:rPr>
              <w:t>中途退学率</w:t>
            </w:r>
            <w:r w:rsidR="00E80DB3">
              <w:rPr>
                <w:rFonts w:ascii="ＭＳ ゴシック" w:eastAsia="ＭＳ ゴシック" w:hAnsi="ＭＳ ゴシック" w:cs="ＭＳ Ｐゴシック" w:hint="eastAsia"/>
                <w:kern w:val="0"/>
                <w:sz w:val="20"/>
                <w:szCs w:val="20"/>
              </w:rPr>
              <w:t>や</w:t>
            </w:r>
            <w:r w:rsidRPr="00F846CC">
              <w:rPr>
                <w:rFonts w:ascii="ＭＳ ゴシック" w:eastAsia="ＭＳ ゴシック" w:hAnsi="ＭＳ ゴシック" w:cs="ＭＳ Ｐゴシック"/>
                <w:kern w:val="0"/>
                <w:sz w:val="20"/>
                <w:szCs w:val="20"/>
              </w:rPr>
              <w:t>不登校生徒の減少、進級卒業率の向上</w:t>
            </w:r>
            <w:r w:rsidR="00CC47E9">
              <w:rPr>
                <w:rFonts w:ascii="ＭＳ ゴシック" w:eastAsia="ＭＳ ゴシック" w:hAnsi="ＭＳ ゴシック" w:cs="ＭＳ Ｐゴシック" w:hint="eastAsia"/>
                <w:kern w:val="0"/>
                <w:sz w:val="20"/>
                <w:szCs w:val="20"/>
              </w:rPr>
              <w:t>といった成果があらわれ</w:t>
            </w:r>
            <w:r w:rsidRPr="00F846CC">
              <w:rPr>
                <w:rFonts w:ascii="ＭＳ ゴシック" w:eastAsia="ＭＳ ゴシック" w:hAnsi="ＭＳ ゴシック" w:cs="ＭＳ Ｐゴシック"/>
                <w:kern w:val="0"/>
                <w:sz w:val="20"/>
                <w:szCs w:val="20"/>
              </w:rPr>
              <w:t>、生徒の希望する進路を実現させることが</w:t>
            </w:r>
            <w:r w:rsidR="00CC47E9">
              <w:rPr>
                <w:rFonts w:ascii="ＭＳ ゴシック" w:eastAsia="ＭＳ ゴシック" w:hAnsi="ＭＳ ゴシック" w:cs="ＭＳ Ｐゴシック" w:hint="eastAsia"/>
                <w:kern w:val="0"/>
                <w:sz w:val="20"/>
                <w:szCs w:val="20"/>
              </w:rPr>
              <w:t>でき</w:t>
            </w:r>
            <w:r w:rsidRPr="00F846CC">
              <w:rPr>
                <w:rFonts w:ascii="ＭＳ ゴシック" w:eastAsia="ＭＳ ゴシック" w:hAnsi="ＭＳ ゴシック" w:cs="ＭＳ Ｐゴシック"/>
                <w:kern w:val="0"/>
                <w:sz w:val="20"/>
                <w:szCs w:val="20"/>
              </w:rPr>
              <w:t>た。</w:t>
            </w:r>
          </w:p>
        </w:tc>
      </w:tr>
    </w:tbl>
    <w:p w:rsidR="00F05F9C" w:rsidRPr="003418B5" w:rsidRDefault="00F05F9C"/>
    <w:p w:rsidR="00F05F9C" w:rsidRPr="003418B5" w:rsidRDefault="00F05F9C">
      <w:pPr>
        <w:widowControl/>
        <w:jc w:val="left"/>
      </w:pPr>
      <w:r w:rsidRPr="003418B5">
        <w:br w:type="page"/>
      </w:r>
    </w:p>
    <w:p w:rsidR="00B62C9E" w:rsidRPr="003418B5" w:rsidRDefault="00F05F9C">
      <w:pPr>
        <w:rPr>
          <w:rFonts w:ascii="Meiryo UI" w:eastAsia="Meiryo UI" w:hAnsi="Meiryo UI"/>
          <w:b/>
        </w:rPr>
      </w:pPr>
      <w:r w:rsidRPr="003418B5">
        <w:rPr>
          <w:rFonts w:ascii="Meiryo UI" w:eastAsia="Meiryo UI" w:hAnsi="Meiryo UI" w:hint="eastAsia"/>
          <w:b/>
        </w:rPr>
        <w:lastRenderedPageBreak/>
        <w:t>３．事業費報告</w:t>
      </w:r>
    </w:p>
    <w:p w:rsidR="00F05F9C" w:rsidRDefault="00F846CC">
      <w:r w:rsidRPr="00F846CC">
        <w:rPr>
          <w:noProof/>
        </w:rPr>
        <w:drawing>
          <wp:inline distT="0" distB="0" distL="0" distR="0" wp14:anchorId="77B91A90" wp14:editId="4E29AD55">
            <wp:extent cx="6241415" cy="6689418"/>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65" t="2086"/>
                    <a:stretch/>
                  </pic:blipFill>
                  <pic:spPr bwMode="auto">
                    <a:xfrm>
                      <a:off x="0" y="0"/>
                      <a:ext cx="6242034" cy="6690081"/>
                    </a:xfrm>
                    <a:prstGeom prst="rect">
                      <a:avLst/>
                    </a:prstGeom>
                    <a:ln>
                      <a:noFill/>
                    </a:ln>
                    <a:extLst>
                      <a:ext uri="{53640926-AAD7-44D8-BBD7-CCE9431645EC}">
                        <a14:shadowObscured xmlns:a14="http://schemas.microsoft.com/office/drawing/2010/main"/>
                      </a:ext>
                    </a:extLst>
                  </pic:spPr>
                </pic:pic>
              </a:graphicData>
            </a:graphic>
          </wp:inline>
        </w:drawing>
      </w:r>
    </w:p>
    <w:p w:rsidR="00F05F9C" w:rsidRPr="00345AF8" w:rsidRDefault="00F05F9C"/>
    <w:sectPr w:rsidR="00F05F9C" w:rsidRPr="00345AF8" w:rsidSect="00F847B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75" w:rsidRDefault="001B3075" w:rsidP="001B3075">
      <w:r>
        <w:separator/>
      </w:r>
    </w:p>
  </w:endnote>
  <w:endnote w:type="continuationSeparator" w:id="0">
    <w:p w:rsidR="001B3075" w:rsidRDefault="001B3075" w:rsidP="001B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75" w:rsidRDefault="001B3075" w:rsidP="001B3075">
      <w:r>
        <w:separator/>
      </w:r>
    </w:p>
  </w:footnote>
  <w:footnote w:type="continuationSeparator" w:id="0">
    <w:p w:rsidR="001B3075" w:rsidRDefault="001B3075" w:rsidP="001B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C603B"/>
    <w:multiLevelType w:val="hybridMultilevel"/>
    <w:tmpl w:val="8FB8321C"/>
    <w:lvl w:ilvl="0" w:tplc="90E063D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4C50F1"/>
    <w:multiLevelType w:val="hybridMultilevel"/>
    <w:tmpl w:val="A12486A6"/>
    <w:lvl w:ilvl="0" w:tplc="1C506992">
      <w:numFmt w:val="bullet"/>
      <w:lvlText w:val="・"/>
      <w:lvlJc w:val="left"/>
      <w:pPr>
        <w:ind w:left="453" w:hanging="360"/>
      </w:pPr>
      <w:rPr>
        <w:rFonts w:ascii="ＭＳ ゴシック" w:eastAsia="ＭＳ ゴシック" w:hAnsi="ＭＳ ゴシック" w:cs="ＭＳ Ｐゴシック"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abstractNum w:abstractNumId="2" w15:restartNumberingAfterBreak="0">
    <w:nsid w:val="7D725A39"/>
    <w:multiLevelType w:val="hybridMultilevel"/>
    <w:tmpl w:val="DDCA474A"/>
    <w:lvl w:ilvl="0" w:tplc="0C126074">
      <w:numFmt w:val="bullet"/>
      <w:lvlText w:val="・"/>
      <w:lvlJc w:val="left"/>
      <w:pPr>
        <w:ind w:left="503" w:hanging="360"/>
      </w:pPr>
      <w:rPr>
        <w:rFonts w:ascii="ＭＳ ゴシック" w:eastAsia="ＭＳ ゴシック" w:hAnsi="ＭＳ ゴシック" w:cs="ＭＳ Ｐゴシック"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B9"/>
    <w:rsid w:val="001B3075"/>
    <w:rsid w:val="00295E90"/>
    <w:rsid w:val="003418B5"/>
    <w:rsid w:val="00345AF8"/>
    <w:rsid w:val="00414927"/>
    <w:rsid w:val="00784234"/>
    <w:rsid w:val="00820EB5"/>
    <w:rsid w:val="008F1158"/>
    <w:rsid w:val="009C03C7"/>
    <w:rsid w:val="00B62C9E"/>
    <w:rsid w:val="00B74385"/>
    <w:rsid w:val="00C000F1"/>
    <w:rsid w:val="00CC47E9"/>
    <w:rsid w:val="00CD569A"/>
    <w:rsid w:val="00E2124A"/>
    <w:rsid w:val="00E80DB3"/>
    <w:rsid w:val="00F05F9C"/>
    <w:rsid w:val="00F846CC"/>
    <w:rsid w:val="00F8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56D706"/>
  <w15:chartTrackingRefBased/>
  <w15:docId w15:val="{768E7066-0F48-4AE3-A634-049CAAF3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7B9"/>
    <w:pPr>
      <w:ind w:leftChars="400" w:left="840"/>
    </w:pPr>
  </w:style>
  <w:style w:type="paragraph" w:styleId="a4">
    <w:name w:val="header"/>
    <w:basedOn w:val="a"/>
    <w:link w:val="a5"/>
    <w:uiPriority w:val="99"/>
    <w:unhideWhenUsed/>
    <w:rsid w:val="001B3075"/>
    <w:pPr>
      <w:tabs>
        <w:tab w:val="center" w:pos="4252"/>
        <w:tab w:val="right" w:pos="8504"/>
      </w:tabs>
      <w:snapToGrid w:val="0"/>
    </w:pPr>
  </w:style>
  <w:style w:type="character" w:customStyle="1" w:styleId="a5">
    <w:name w:val="ヘッダー (文字)"/>
    <w:basedOn w:val="a0"/>
    <w:link w:val="a4"/>
    <w:uiPriority w:val="99"/>
    <w:rsid w:val="001B3075"/>
  </w:style>
  <w:style w:type="paragraph" w:styleId="a6">
    <w:name w:val="footer"/>
    <w:basedOn w:val="a"/>
    <w:link w:val="a7"/>
    <w:uiPriority w:val="99"/>
    <w:unhideWhenUsed/>
    <w:rsid w:val="001B3075"/>
    <w:pPr>
      <w:tabs>
        <w:tab w:val="center" w:pos="4252"/>
        <w:tab w:val="right" w:pos="8504"/>
      </w:tabs>
      <w:snapToGrid w:val="0"/>
    </w:pPr>
  </w:style>
  <w:style w:type="character" w:customStyle="1" w:styleId="a7">
    <w:name w:val="フッター (文字)"/>
    <w:basedOn w:val="a0"/>
    <w:link w:val="a6"/>
    <w:uiPriority w:val="99"/>
    <w:rsid w:val="001B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77001">
      <w:bodyDiv w:val="1"/>
      <w:marLeft w:val="0"/>
      <w:marRight w:val="0"/>
      <w:marTop w:val="0"/>
      <w:marBottom w:val="0"/>
      <w:divBdr>
        <w:top w:val="none" w:sz="0" w:space="0" w:color="auto"/>
        <w:left w:val="none" w:sz="0" w:space="0" w:color="auto"/>
        <w:bottom w:val="none" w:sz="0" w:space="0" w:color="auto"/>
        <w:right w:val="none" w:sz="0" w:space="0" w:color="auto"/>
      </w:divBdr>
    </w:div>
    <w:div w:id="20305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9</cp:revision>
  <dcterms:created xsi:type="dcterms:W3CDTF">2021-07-20T10:53:00Z</dcterms:created>
  <dcterms:modified xsi:type="dcterms:W3CDTF">2023-03-31T00:25:00Z</dcterms:modified>
</cp:coreProperties>
</file>