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7758A9" w:rsidRDefault="00BC361D" w:rsidP="00B17B7E">
      <w:pPr>
        <w:autoSpaceDN w:val="0"/>
      </w:pPr>
      <w:r w:rsidRPr="007758A9">
        <w:rPr>
          <w:rFonts w:hint="eastAsia"/>
        </w:rPr>
        <w:t>大阪府条例第　　　号</w:t>
      </w:r>
    </w:p>
    <w:p w:rsidR="00BE52B5" w:rsidRPr="007758A9" w:rsidRDefault="007758A9" w:rsidP="00B17B7E">
      <w:pPr>
        <w:autoSpaceDN w:val="0"/>
        <w:ind w:firstLineChars="300" w:firstLine="756"/>
      </w:pPr>
      <w:r w:rsidRPr="007758A9">
        <w:rPr>
          <w:rFonts w:hint="eastAsia"/>
        </w:rPr>
        <w:t>大阪府附属機関条例</w:t>
      </w:r>
      <w:r w:rsidR="006E1B8D" w:rsidRPr="007758A9">
        <w:rPr>
          <w:rFonts w:hint="eastAsia"/>
        </w:rPr>
        <w:t>の一部を改</w:t>
      </w:r>
      <w:r w:rsidR="00E40068" w:rsidRPr="007758A9">
        <w:rPr>
          <w:rFonts w:hint="eastAsia"/>
        </w:rPr>
        <w:t>正</w:t>
      </w:r>
      <w:r w:rsidR="00BC361D" w:rsidRPr="007758A9">
        <w:rPr>
          <w:rFonts w:hint="eastAsia"/>
        </w:rPr>
        <w:t>する条例</w:t>
      </w:r>
    </w:p>
    <w:p w:rsidR="00BC361D" w:rsidRPr="007758A9" w:rsidRDefault="00E40068" w:rsidP="00B17B7E">
      <w:pPr>
        <w:autoSpaceDN w:val="0"/>
      </w:pPr>
      <w:r w:rsidRPr="007758A9">
        <w:rPr>
          <w:rFonts w:hint="eastAsia"/>
        </w:rPr>
        <w:t xml:space="preserve">　</w:t>
      </w:r>
      <w:r w:rsidR="007758A9" w:rsidRPr="007758A9">
        <w:rPr>
          <w:rFonts w:hint="eastAsia"/>
        </w:rPr>
        <w:t>大阪府附属機関条例</w:t>
      </w:r>
      <w:r w:rsidR="007758A9">
        <w:rPr>
          <w:rFonts w:hint="eastAsia"/>
        </w:rPr>
        <w:t>（</w:t>
      </w:r>
      <w:r w:rsidR="007758A9" w:rsidRPr="007758A9">
        <w:rPr>
          <w:rFonts w:hint="eastAsia"/>
        </w:rPr>
        <w:t>昭和二十七年大阪府条例第三十九号</w:t>
      </w:r>
      <w:r w:rsidR="007758A9">
        <w:rPr>
          <w:rFonts w:hint="eastAsia"/>
        </w:rPr>
        <w:t>）</w:t>
      </w:r>
      <w:r w:rsidR="00BC361D" w:rsidRPr="007758A9">
        <w:rPr>
          <w:rFonts w:hint="eastAsia"/>
        </w:rPr>
        <w:t>の一部を次のように改正する。</w:t>
      </w:r>
    </w:p>
    <w:p w:rsidR="00504FE9" w:rsidRPr="007758A9" w:rsidRDefault="00504FE9" w:rsidP="00B17B7E">
      <w:pPr>
        <w:autoSpaceDN w:val="0"/>
      </w:pPr>
      <w:r w:rsidRPr="007758A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7758A9" w:rsidTr="003A02CE">
        <w:trPr>
          <w:trHeight w:val="249"/>
        </w:trPr>
        <w:tc>
          <w:tcPr>
            <w:tcW w:w="4522" w:type="dxa"/>
            <w:textDirection w:val="lrTbV"/>
          </w:tcPr>
          <w:p w:rsidR="00D14A5A" w:rsidRPr="007758A9" w:rsidRDefault="00784C36" w:rsidP="003A02CE">
            <w:pPr>
              <w:autoSpaceDN w:val="0"/>
              <w:jc w:val="center"/>
              <w:rPr>
                <w:rFonts w:ascii="ＭＳ 明朝" w:hAnsi="ＭＳ 明朝"/>
                <w:spacing w:val="-6"/>
                <w:sz w:val="20"/>
                <w:szCs w:val="20"/>
              </w:rPr>
            </w:pPr>
            <w:r w:rsidRPr="007758A9">
              <w:rPr>
                <w:rFonts w:ascii="ＭＳ 明朝" w:hAnsi="ＭＳ 明朝" w:hint="eastAsia"/>
                <w:spacing w:val="-6"/>
                <w:sz w:val="20"/>
                <w:szCs w:val="20"/>
              </w:rPr>
              <w:t>改</w:t>
            </w:r>
            <w:r w:rsidR="00B356A7" w:rsidRPr="007758A9">
              <w:rPr>
                <w:rFonts w:ascii="ＭＳ 明朝" w:hAnsi="ＭＳ 明朝" w:hint="eastAsia"/>
                <w:spacing w:val="-6"/>
                <w:sz w:val="20"/>
                <w:szCs w:val="20"/>
              </w:rPr>
              <w:t>正</w:t>
            </w:r>
            <w:r w:rsidR="00D14A5A" w:rsidRPr="007758A9">
              <w:rPr>
                <w:rFonts w:ascii="ＭＳ 明朝" w:hAnsi="ＭＳ 明朝" w:hint="eastAsia"/>
                <w:spacing w:val="-6"/>
                <w:sz w:val="20"/>
                <w:szCs w:val="20"/>
              </w:rPr>
              <w:t>後</w:t>
            </w:r>
          </w:p>
        </w:tc>
        <w:tc>
          <w:tcPr>
            <w:tcW w:w="4523" w:type="dxa"/>
            <w:textDirection w:val="lrTbV"/>
          </w:tcPr>
          <w:p w:rsidR="00D14A5A" w:rsidRPr="007758A9" w:rsidRDefault="00B356A7" w:rsidP="003A02CE">
            <w:pPr>
              <w:autoSpaceDN w:val="0"/>
              <w:jc w:val="center"/>
              <w:rPr>
                <w:rFonts w:ascii="ＭＳ 明朝" w:hAnsi="ＭＳ 明朝"/>
                <w:spacing w:val="-6"/>
                <w:sz w:val="20"/>
                <w:szCs w:val="20"/>
              </w:rPr>
            </w:pPr>
            <w:r w:rsidRPr="007758A9">
              <w:rPr>
                <w:rFonts w:ascii="ＭＳ 明朝" w:hAnsi="ＭＳ 明朝" w:hint="eastAsia"/>
                <w:spacing w:val="-6"/>
                <w:sz w:val="20"/>
                <w:szCs w:val="20"/>
              </w:rPr>
              <w:t>改正</w:t>
            </w:r>
            <w:r w:rsidR="00D14A5A" w:rsidRPr="007758A9">
              <w:rPr>
                <w:rFonts w:ascii="ＭＳ 明朝" w:hAnsi="ＭＳ 明朝" w:hint="eastAsia"/>
                <w:spacing w:val="-6"/>
                <w:sz w:val="20"/>
                <w:szCs w:val="20"/>
              </w:rPr>
              <w:t>前</w:t>
            </w:r>
          </w:p>
        </w:tc>
      </w:tr>
      <w:tr w:rsidR="00D14A5A" w:rsidRPr="007758A9" w:rsidTr="003A02CE">
        <w:trPr>
          <w:trHeight w:val="240"/>
        </w:trPr>
        <w:tc>
          <w:tcPr>
            <w:tcW w:w="4522" w:type="dxa"/>
            <w:tcBorders>
              <w:bottom w:val="nil"/>
            </w:tcBorders>
            <w:textDirection w:val="lrTbV"/>
          </w:tcPr>
          <w:p w:rsidR="00D14A5A" w:rsidRPr="007758A9" w:rsidRDefault="00D14A5A" w:rsidP="003A02C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7758A9" w:rsidRDefault="00D14A5A" w:rsidP="003A02CE">
            <w:pPr>
              <w:autoSpaceDN w:val="0"/>
              <w:spacing w:line="240" w:lineRule="exact"/>
              <w:rPr>
                <w:rFonts w:ascii="ＭＳ 明朝" w:hAnsi="ＭＳ 明朝"/>
                <w:spacing w:val="-6"/>
                <w:sz w:val="20"/>
                <w:szCs w:val="20"/>
              </w:rPr>
            </w:pPr>
          </w:p>
        </w:tc>
      </w:tr>
      <w:tr w:rsidR="0055173F" w:rsidRPr="007758A9" w:rsidTr="003A02CE">
        <w:trPr>
          <w:trHeight w:val="9009"/>
        </w:trPr>
        <w:tc>
          <w:tcPr>
            <w:tcW w:w="4522" w:type="dxa"/>
            <w:tcBorders>
              <w:top w:val="nil"/>
              <w:bottom w:val="nil"/>
            </w:tcBorders>
            <w:textDirection w:val="lrTbV"/>
          </w:tcPr>
          <w:p w:rsidR="0055173F" w:rsidRPr="007758A9" w:rsidRDefault="00A2071F" w:rsidP="003A02C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別表第一（第二条関係）</w:t>
            </w:r>
          </w:p>
          <w:p w:rsidR="00F8586D" w:rsidRPr="007758A9" w:rsidRDefault="00A2071F" w:rsidP="003A02C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（略）</w:t>
            </w:r>
          </w:p>
          <w:tbl>
            <w:tblPr>
              <w:tblStyle w:val="a4"/>
              <w:tblW w:w="0" w:type="auto"/>
              <w:tblInd w:w="374" w:type="dxa"/>
              <w:tblLook w:val="04A0" w:firstRow="1" w:lastRow="0" w:firstColumn="1" w:lastColumn="0" w:noHBand="0" w:noVBand="1"/>
            </w:tblPr>
            <w:tblGrid>
              <w:gridCol w:w="1780"/>
              <w:gridCol w:w="2155"/>
            </w:tblGrid>
            <w:tr w:rsidR="007758A9" w:rsidTr="007758A9">
              <w:tc>
                <w:tcPr>
                  <w:tcW w:w="1780" w:type="dxa"/>
                  <w:textDirection w:val="lrTbV"/>
                  <w:vAlign w:val="center"/>
                </w:tcPr>
                <w:p w:rsidR="007758A9"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名称</w:t>
                  </w:r>
                </w:p>
              </w:tc>
              <w:tc>
                <w:tcPr>
                  <w:tcW w:w="2155" w:type="dxa"/>
                  <w:textDirection w:val="lrTbV"/>
                  <w:vAlign w:val="center"/>
                </w:tcPr>
                <w:p w:rsidR="007758A9"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担任する事務</w:t>
                  </w:r>
                </w:p>
              </w:tc>
            </w:tr>
            <w:tr w:rsidR="007758A9" w:rsidTr="007758A9">
              <w:tc>
                <w:tcPr>
                  <w:tcW w:w="1780" w:type="dxa"/>
                  <w:textDirection w:val="lrTbV"/>
                  <w:vAlign w:val="center"/>
                </w:tcPr>
                <w:p w:rsidR="007758A9"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vAlign w:val="center"/>
                </w:tcPr>
                <w:p w:rsidR="007758A9"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7758A9" w:rsidTr="007758A9">
              <w:tc>
                <w:tcPr>
                  <w:tcW w:w="1780" w:type="dxa"/>
                  <w:textDirection w:val="lrTbV"/>
                  <w:vAlign w:val="center"/>
                </w:tcPr>
                <w:p w:rsidR="007758A9" w:rsidRPr="00A604ED" w:rsidRDefault="00A2071F" w:rsidP="0035276E">
                  <w:pPr>
                    <w:framePr w:hSpace="142" w:wrap="around" w:vAnchor="text" w:hAnchor="margin" w:y="184"/>
                    <w:autoSpaceDN w:val="0"/>
                    <w:spacing w:line="240" w:lineRule="exact"/>
                    <w:rPr>
                      <w:rFonts w:ascii="ＭＳ 明朝" w:hAnsi="ＭＳ 明朝" w:cs="ＭＳ ゴシック"/>
                      <w:spacing w:val="-6"/>
                      <w:kern w:val="0"/>
                      <w:sz w:val="20"/>
                      <w:szCs w:val="20"/>
                    </w:rPr>
                  </w:pPr>
                  <w:r w:rsidRPr="00A604ED">
                    <w:rPr>
                      <w:rFonts w:ascii="ＭＳ 明朝" w:hAnsi="ＭＳ 明朝" w:hint="eastAsia"/>
                      <w:color w:val="000000"/>
                      <w:sz w:val="20"/>
                      <w:szCs w:val="20"/>
                      <w:shd w:val="clear" w:color="auto" w:fill="FFFFFF"/>
                    </w:rPr>
                    <w:t>大阪府障害者自立支援協議会</w:t>
                  </w:r>
                </w:p>
              </w:tc>
              <w:tc>
                <w:tcPr>
                  <w:tcW w:w="2155" w:type="dxa"/>
                  <w:textDirection w:val="lrTbV"/>
                </w:tcPr>
                <w:p w:rsidR="007758A9" w:rsidRPr="00A604ED" w:rsidRDefault="00A2071F" w:rsidP="0035276E">
                  <w:pPr>
                    <w:framePr w:hSpace="142" w:wrap="around" w:vAnchor="text" w:hAnchor="margin" w:y="184"/>
                    <w:autoSpaceDN w:val="0"/>
                    <w:spacing w:line="240" w:lineRule="exact"/>
                    <w:rPr>
                      <w:rFonts w:ascii="ＭＳ 明朝" w:hAnsi="ＭＳ 明朝" w:cs="ＭＳ ゴシック"/>
                      <w:spacing w:val="-6"/>
                      <w:kern w:val="0"/>
                      <w:sz w:val="20"/>
                      <w:szCs w:val="20"/>
                    </w:rPr>
                  </w:pPr>
                  <w:r w:rsidRPr="00A604ED">
                    <w:rPr>
                      <w:rFonts w:ascii="ＭＳ 明朝" w:hAnsi="ＭＳ 明朝" w:hint="eastAsia"/>
                      <w:color w:val="000000"/>
                      <w:sz w:val="20"/>
                      <w:szCs w:val="20"/>
                      <w:shd w:val="clear" w:color="auto" w:fill="FFFFFF"/>
                    </w:rPr>
                    <w:t>障害者の日常生活及び社会生活を総合的に支援するための法律</w:t>
                  </w:r>
                  <w:r w:rsidR="0053578F" w:rsidRPr="00A604ED">
                    <w:rPr>
                      <w:rStyle w:val="brackets-color1"/>
                      <w:rFonts w:ascii="ＭＳ 明朝" w:hAnsi="ＭＳ 明朝" w:hint="eastAsia"/>
                      <w:color w:val="000000"/>
                      <w:sz w:val="20"/>
                      <w:szCs w:val="20"/>
                      <w:bdr w:val="none" w:sz="0" w:space="0" w:color="auto" w:frame="1"/>
                      <w:shd w:val="clear" w:color="auto" w:fill="FFFFFF"/>
                    </w:rPr>
                    <w:t>（平成十七年法律第百二十三号）</w:t>
                  </w:r>
                  <w:r w:rsidR="0053578F" w:rsidRPr="00EC2D69">
                    <w:rPr>
                      <w:rFonts w:ascii="ＭＳ 明朝" w:hAnsi="ＭＳ 明朝" w:hint="eastAsia"/>
                      <w:color w:val="000000"/>
                      <w:sz w:val="20"/>
                      <w:szCs w:val="20"/>
                      <w:u w:val="single"/>
                      <w:shd w:val="clear" w:color="auto" w:fill="FFFFFF"/>
                    </w:rPr>
                    <w:t>第八十九条</w:t>
                  </w:r>
                  <w:r w:rsidR="0053578F" w:rsidRPr="00A604ED">
                    <w:rPr>
                      <w:rFonts w:ascii="ＭＳ 明朝" w:hAnsi="ＭＳ 明朝" w:hint="eastAsia"/>
                      <w:color w:val="000000"/>
                      <w:sz w:val="20"/>
                      <w:szCs w:val="20"/>
                      <w:u w:val="single"/>
                      <w:shd w:val="clear" w:color="auto" w:fill="FFFFFF"/>
                    </w:rPr>
                    <w:t>第八項</w:t>
                  </w:r>
                  <w:r w:rsidR="0053578F" w:rsidRPr="00A604ED">
                    <w:rPr>
                      <w:rFonts w:ascii="ＭＳ 明朝" w:hAnsi="ＭＳ 明朝" w:hint="eastAsia"/>
                      <w:color w:val="000000"/>
                      <w:sz w:val="20"/>
                      <w:szCs w:val="20"/>
                      <w:shd w:val="clear" w:color="auto" w:fill="FFFFFF"/>
                    </w:rPr>
                    <w:t>に規定する事項並びに同法第八十九条の三の規定による障害者等への支援の体制についての調査審議及び関係機関等の相互の連絡調整に関する事務</w:t>
                  </w:r>
                </w:p>
              </w:tc>
            </w:tr>
            <w:tr w:rsidR="007758A9" w:rsidTr="007758A9">
              <w:tc>
                <w:tcPr>
                  <w:tcW w:w="1780" w:type="dxa"/>
                  <w:textDirection w:val="lrTbV"/>
                </w:tcPr>
                <w:p w:rsidR="007758A9"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tcPr>
                <w:p w:rsidR="007758A9"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AC75F5" w:rsidRDefault="00262CF8" w:rsidP="003A02C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w:t>
            </w:r>
            <w:r w:rsidRPr="00262CF8">
              <w:rPr>
                <w:rFonts w:ascii="ＭＳ 明朝" w:hAnsi="ＭＳ 明朝" w:cs="ＭＳ ゴシック" w:hint="eastAsia"/>
                <w:spacing w:val="-6"/>
                <w:kern w:val="0"/>
                <w:sz w:val="20"/>
                <w:szCs w:val="20"/>
              </w:rPr>
              <w:t xml:space="preserve">　（略）</w:t>
            </w:r>
          </w:p>
          <w:tbl>
            <w:tblPr>
              <w:tblStyle w:val="a4"/>
              <w:tblW w:w="0" w:type="auto"/>
              <w:tblInd w:w="374" w:type="dxa"/>
              <w:tblLook w:val="04A0" w:firstRow="1" w:lastRow="0" w:firstColumn="1" w:lastColumn="0" w:noHBand="0" w:noVBand="1"/>
            </w:tblPr>
            <w:tblGrid>
              <w:gridCol w:w="1780"/>
              <w:gridCol w:w="2155"/>
            </w:tblGrid>
            <w:tr w:rsidR="00AC75F5" w:rsidTr="009B211C">
              <w:tc>
                <w:tcPr>
                  <w:tcW w:w="1780" w:type="dxa"/>
                  <w:textDirection w:val="lrTbV"/>
                  <w:vAlign w:val="center"/>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名称</w:t>
                  </w:r>
                </w:p>
              </w:tc>
              <w:tc>
                <w:tcPr>
                  <w:tcW w:w="2155" w:type="dxa"/>
                  <w:textDirection w:val="lrTbV"/>
                  <w:vAlign w:val="center"/>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担任する事務</w:t>
                  </w:r>
                </w:p>
              </w:tc>
            </w:tr>
            <w:tr w:rsidR="00AC75F5" w:rsidTr="009B211C">
              <w:tc>
                <w:tcPr>
                  <w:tcW w:w="1780" w:type="dxa"/>
                  <w:textDirection w:val="lrTbV"/>
                  <w:vAlign w:val="center"/>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vAlign w:val="center"/>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AC75F5" w:rsidTr="008C7A0D">
              <w:tc>
                <w:tcPr>
                  <w:tcW w:w="1780" w:type="dxa"/>
                  <w:shd w:val="clear" w:color="auto" w:fill="auto"/>
                  <w:textDirection w:val="lrTbV"/>
                  <w:vAlign w:val="center"/>
                </w:tcPr>
                <w:p w:rsidR="00AC75F5" w:rsidRPr="00020A89" w:rsidRDefault="00AC75F5" w:rsidP="0035276E">
                  <w:pPr>
                    <w:framePr w:hSpace="142" w:wrap="around" w:vAnchor="text" w:hAnchor="margin" w:y="184"/>
                    <w:spacing w:line="240" w:lineRule="exact"/>
                    <w:rPr>
                      <w:rFonts w:ascii="ＭＳ 明朝" w:hAnsi="ＭＳ 明朝" w:cs="ＭＳ ゴシック"/>
                      <w:spacing w:val="-6"/>
                      <w:kern w:val="0"/>
                      <w:sz w:val="20"/>
                      <w:szCs w:val="20"/>
                      <w:u w:val="single"/>
                    </w:rPr>
                  </w:pPr>
                  <w:r w:rsidRPr="00020A89">
                    <w:rPr>
                      <w:rFonts w:ascii="ＭＳ 明朝" w:hAnsi="ＭＳ 明朝" w:cs="ＭＳ ゴシック" w:hint="eastAsia"/>
                      <w:spacing w:val="-6"/>
                      <w:kern w:val="0"/>
                      <w:sz w:val="20"/>
                      <w:szCs w:val="20"/>
                      <w:u w:val="single"/>
                    </w:rPr>
                    <w:t>大阪府立学校いじめ防止対策等審議会</w:t>
                  </w:r>
                </w:p>
              </w:tc>
              <w:tc>
                <w:tcPr>
                  <w:tcW w:w="2155" w:type="dxa"/>
                  <w:shd w:val="clear" w:color="auto" w:fill="auto"/>
                  <w:textDirection w:val="lrTbV"/>
                  <w:vAlign w:val="center"/>
                </w:tcPr>
                <w:p w:rsidR="00AC75F5" w:rsidRPr="000150F3" w:rsidRDefault="00AC75F5" w:rsidP="0035276E">
                  <w:pPr>
                    <w:framePr w:hSpace="142" w:wrap="around" w:vAnchor="text" w:hAnchor="margin" w:y="184"/>
                    <w:spacing w:line="240" w:lineRule="exact"/>
                    <w:rPr>
                      <w:rFonts w:ascii="ＭＳ 明朝" w:hAnsi="ＭＳ 明朝" w:cs="ＭＳ ゴシック"/>
                      <w:spacing w:val="-6"/>
                      <w:kern w:val="0"/>
                      <w:sz w:val="20"/>
                      <w:szCs w:val="20"/>
                    </w:rPr>
                  </w:pPr>
                  <w:r w:rsidRPr="000150F3">
                    <w:rPr>
                      <w:rFonts w:ascii="ＭＳ 明朝" w:hAnsi="ＭＳ 明朝" w:cs="ＭＳ ゴシック" w:hint="eastAsia"/>
                      <w:spacing w:val="-6"/>
                      <w:kern w:val="0"/>
                      <w:sz w:val="20"/>
                      <w:szCs w:val="20"/>
                    </w:rPr>
                    <w:t>府立学校の児童及び生徒に係るいじめ防止対策推進法第十四条第三項に規定するいじめの防止等のための対策についての調査審議及び同法第二十八条第一項に規定する重大事態に係る事実関係を明確にするための調査に関する事務</w:t>
                  </w:r>
                  <w:r w:rsidRPr="000150F3">
                    <w:rPr>
                      <w:rFonts w:ascii="ＭＳ 明朝" w:hAnsi="ＭＳ 明朝" w:cs="ＭＳ ゴシック" w:hint="eastAsia"/>
                      <w:spacing w:val="-6"/>
                      <w:kern w:val="0"/>
                      <w:sz w:val="20"/>
                      <w:szCs w:val="20"/>
                      <w:u w:val="single"/>
                    </w:rPr>
                    <w:t>並びに</w:t>
                  </w:r>
                  <w:r>
                    <w:rPr>
                      <w:rFonts w:ascii="ＭＳ 明朝" w:hAnsi="ＭＳ 明朝" w:cs="ＭＳ ゴシック" w:hint="eastAsia"/>
                      <w:spacing w:val="-6"/>
                      <w:kern w:val="0"/>
                      <w:sz w:val="20"/>
                      <w:szCs w:val="20"/>
                      <w:u w:val="single"/>
                    </w:rPr>
                    <w:t>学校生活に起因する府立学校の児童及び生徒の</w:t>
                  </w:r>
                  <w:r w:rsidRPr="000150F3">
                    <w:rPr>
                      <w:rFonts w:ascii="ＭＳ 明朝" w:hAnsi="ＭＳ 明朝" w:cs="ＭＳ ゴシック" w:hint="eastAsia"/>
                      <w:spacing w:val="-6"/>
                      <w:kern w:val="0"/>
                      <w:sz w:val="20"/>
                      <w:szCs w:val="20"/>
                      <w:u w:val="single"/>
                    </w:rPr>
                    <w:t>自殺又は自殺未遂</w:t>
                  </w:r>
                  <w:r>
                    <w:rPr>
                      <w:rFonts w:ascii="ＭＳ 明朝" w:hAnsi="ＭＳ 明朝" w:cs="ＭＳ ゴシック" w:hint="eastAsia"/>
                      <w:spacing w:val="-6"/>
                      <w:kern w:val="0"/>
                      <w:sz w:val="20"/>
                      <w:szCs w:val="20"/>
                      <w:u w:val="single"/>
                    </w:rPr>
                    <w:t>があった場合</w:t>
                  </w:r>
                  <w:r w:rsidRPr="000150F3">
                    <w:rPr>
                      <w:rFonts w:ascii="ＭＳ 明朝" w:hAnsi="ＭＳ 明朝" w:cs="ＭＳ ゴシック" w:hint="eastAsia"/>
                      <w:spacing w:val="-6"/>
                      <w:kern w:val="0"/>
                      <w:sz w:val="20"/>
                      <w:szCs w:val="20"/>
                      <w:u w:val="single"/>
                    </w:rPr>
                    <w:t>（その疑いがある場合を含む</w:t>
                  </w:r>
                  <w:r>
                    <w:rPr>
                      <w:rFonts w:ascii="ＭＳ 明朝" w:hAnsi="ＭＳ 明朝" w:cs="ＭＳ ゴシック" w:hint="eastAsia"/>
                      <w:spacing w:val="-6"/>
                      <w:kern w:val="0"/>
                      <w:sz w:val="20"/>
                      <w:szCs w:val="20"/>
                      <w:u w:val="single"/>
                    </w:rPr>
                    <w:t>。</w:t>
                  </w:r>
                  <w:r w:rsidRPr="000150F3">
                    <w:rPr>
                      <w:rFonts w:ascii="ＭＳ 明朝" w:hAnsi="ＭＳ 明朝" w:cs="ＭＳ ゴシック" w:hint="eastAsia"/>
                      <w:spacing w:val="-6"/>
                      <w:kern w:val="0"/>
                      <w:sz w:val="20"/>
                      <w:szCs w:val="20"/>
                      <w:u w:val="single"/>
                    </w:rPr>
                    <w:t>）に係る事実関係を明確にするための調査に関する事務</w:t>
                  </w:r>
                </w:p>
              </w:tc>
            </w:tr>
            <w:tr w:rsidR="00AC75F5" w:rsidTr="00054343">
              <w:trPr>
                <w:trHeight w:val="254"/>
              </w:trPr>
              <w:tc>
                <w:tcPr>
                  <w:tcW w:w="1780" w:type="dxa"/>
                  <w:textDirection w:val="lrTbV"/>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F8586D" w:rsidRPr="007758A9" w:rsidRDefault="00262CF8" w:rsidP="003A02CE">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三・</w:t>
            </w:r>
            <w:r w:rsidR="00A2071F">
              <w:rPr>
                <w:rFonts w:ascii="ＭＳ 明朝" w:hAnsi="ＭＳ 明朝" w:cs="ＭＳ ゴシック" w:hint="eastAsia"/>
                <w:spacing w:val="-6"/>
                <w:kern w:val="0"/>
                <w:sz w:val="20"/>
                <w:szCs w:val="20"/>
              </w:rPr>
              <w:t>四　（略）</w:t>
            </w:r>
          </w:p>
        </w:tc>
        <w:tc>
          <w:tcPr>
            <w:tcW w:w="4523" w:type="dxa"/>
            <w:tcBorders>
              <w:top w:val="nil"/>
              <w:bottom w:val="nil"/>
            </w:tcBorders>
            <w:textDirection w:val="lrTbV"/>
          </w:tcPr>
          <w:p w:rsidR="006C12C1" w:rsidRPr="007758A9" w:rsidRDefault="00A2071F" w:rsidP="003A02C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別表第一（第二条関係）</w:t>
            </w:r>
          </w:p>
          <w:p w:rsidR="006C12C1" w:rsidRPr="007758A9" w:rsidRDefault="00A2071F" w:rsidP="003A02C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（略）</w:t>
            </w:r>
          </w:p>
          <w:tbl>
            <w:tblPr>
              <w:tblStyle w:val="a4"/>
              <w:tblW w:w="0" w:type="auto"/>
              <w:tblInd w:w="374" w:type="dxa"/>
              <w:tblLook w:val="04A0" w:firstRow="1" w:lastRow="0" w:firstColumn="1" w:lastColumn="0" w:noHBand="0" w:noVBand="1"/>
            </w:tblPr>
            <w:tblGrid>
              <w:gridCol w:w="1780"/>
              <w:gridCol w:w="2155"/>
            </w:tblGrid>
            <w:tr w:rsidR="006C12C1" w:rsidTr="006C12C1">
              <w:tc>
                <w:tcPr>
                  <w:tcW w:w="1780" w:type="dxa"/>
                  <w:textDirection w:val="lrTbV"/>
                  <w:vAlign w:val="center"/>
                </w:tcPr>
                <w:p w:rsidR="006C12C1"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名称</w:t>
                  </w:r>
                </w:p>
              </w:tc>
              <w:tc>
                <w:tcPr>
                  <w:tcW w:w="2155" w:type="dxa"/>
                  <w:textDirection w:val="lrTbV"/>
                  <w:vAlign w:val="center"/>
                </w:tcPr>
                <w:p w:rsidR="006C12C1"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担任する事務</w:t>
                  </w:r>
                </w:p>
              </w:tc>
            </w:tr>
            <w:tr w:rsidR="006C12C1" w:rsidTr="006C12C1">
              <w:tc>
                <w:tcPr>
                  <w:tcW w:w="1780" w:type="dxa"/>
                  <w:textDirection w:val="lrTbV"/>
                  <w:vAlign w:val="center"/>
                </w:tcPr>
                <w:p w:rsidR="006C12C1"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vAlign w:val="center"/>
                </w:tcPr>
                <w:p w:rsidR="006C12C1"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6C12C1" w:rsidTr="006C12C1">
              <w:tc>
                <w:tcPr>
                  <w:tcW w:w="1780" w:type="dxa"/>
                  <w:textDirection w:val="lrTbV"/>
                  <w:vAlign w:val="center"/>
                </w:tcPr>
                <w:p w:rsidR="006C12C1" w:rsidRPr="00A604ED" w:rsidRDefault="00A2071F" w:rsidP="0035276E">
                  <w:pPr>
                    <w:framePr w:hSpace="142" w:wrap="around" w:vAnchor="text" w:hAnchor="margin" w:y="184"/>
                    <w:autoSpaceDN w:val="0"/>
                    <w:spacing w:line="240" w:lineRule="exact"/>
                    <w:rPr>
                      <w:rFonts w:ascii="ＭＳ 明朝" w:hAnsi="ＭＳ 明朝" w:cs="ＭＳ ゴシック"/>
                      <w:spacing w:val="-6"/>
                      <w:kern w:val="0"/>
                      <w:sz w:val="20"/>
                      <w:szCs w:val="20"/>
                    </w:rPr>
                  </w:pPr>
                  <w:r w:rsidRPr="00A604ED">
                    <w:rPr>
                      <w:rFonts w:ascii="ＭＳ 明朝" w:hAnsi="ＭＳ 明朝" w:hint="eastAsia"/>
                      <w:color w:val="000000"/>
                      <w:sz w:val="20"/>
                      <w:szCs w:val="20"/>
                      <w:shd w:val="clear" w:color="auto" w:fill="FFFFFF"/>
                    </w:rPr>
                    <w:t>大阪府障害者自立支援協議会</w:t>
                  </w:r>
                </w:p>
              </w:tc>
              <w:tc>
                <w:tcPr>
                  <w:tcW w:w="2155" w:type="dxa"/>
                  <w:textDirection w:val="lrTbV"/>
                </w:tcPr>
                <w:p w:rsidR="006C12C1" w:rsidRPr="00A604ED" w:rsidRDefault="00A2071F" w:rsidP="0035276E">
                  <w:pPr>
                    <w:framePr w:hSpace="142" w:wrap="around" w:vAnchor="text" w:hAnchor="margin" w:y="184"/>
                    <w:autoSpaceDN w:val="0"/>
                    <w:spacing w:line="240" w:lineRule="exact"/>
                    <w:rPr>
                      <w:rFonts w:ascii="ＭＳ 明朝" w:hAnsi="ＭＳ 明朝" w:cs="ＭＳ ゴシック"/>
                      <w:spacing w:val="-6"/>
                      <w:kern w:val="0"/>
                      <w:sz w:val="20"/>
                      <w:szCs w:val="20"/>
                    </w:rPr>
                  </w:pPr>
                  <w:r w:rsidRPr="00A604ED">
                    <w:rPr>
                      <w:rFonts w:ascii="ＭＳ 明朝" w:hAnsi="ＭＳ 明朝" w:hint="eastAsia"/>
                      <w:color w:val="000000"/>
                      <w:sz w:val="20"/>
                      <w:szCs w:val="20"/>
                      <w:shd w:val="clear" w:color="auto" w:fill="FFFFFF"/>
                    </w:rPr>
                    <w:t>障害者の日常生活及び社会生活を総合的に支援するための法律</w:t>
                  </w:r>
                  <w:r w:rsidRPr="00A604ED">
                    <w:rPr>
                      <w:rStyle w:val="brackets-color1"/>
                      <w:rFonts w:ascii="ＭＳ 明朝" w:hAnsi="ＭＳ 明朝" w:hint="eastAsia"/>
                      <w:color w:val="000000"/>
                      <w:sz w:val="20"/>
                      <w:szCs w:val="20"/>
                      <w:bdr w:val="none" w:sz="0" w:space="0" w:color="auto" w:frame="1"/>
                      <w:shd w:val="clear" w:color="auto" w:fill="FFFFFF"/>
                    </w:rPr>
                    <w:t>（平成十七年法律第百二十三号）</w:t>
                  </w:r>
                  <w:r w:rsidRPr="00EC2D69">
                    <w:rPr>
                      <w:rFonts w:ascii="ＭＳ 明朝" w:hAnsi="ＭＳ 明朝" w:hint="eastAsia"/>
                      <w:color w:val="000000"/>
                      <w:sz w:val="20"/>
                      <w:szCs w:val="20"/>
                      <w:u w:val="single"/>
                      <w:shd w:val="clear" w:color="auto" w:fill="FFFFFF"/>
                    </w:rPr>
                    <w:t>第八十九条</w:t>
                  </w:r>
                  <w:r w:rsidRPr="00A604ED">
                    <w:rPr>
                      <w:rFonts w:ascii="ＭＳ 明朝" w:hAnsi="ＭＳ 明朝" w:hint="eastAsia"/>
                      <w:color w:val="000000"/>
                      <w:sz w:val="20"/>
                      <w:szCs w:val="20"/>
                      <w:u w:val="single"/>
                      <w:shd w:val="clear" w:color="auto" w:fill="FFFFFF"/>
                    </w:rPr>
                    <w:t>第七項</w:t>
                  </w:r>
                  <w:r w:rsidRPr="00A604ED">
                    <w:rPr>
                      <w:rFonts w:ascii="ＭＳ 明朝" w:hAnsi="ＭＳ 明朝" w:hint="eastAsia"/>
                      <w:color w:val="000000"/>
                      <w:sz w:val="20"/>
                      <w:szCs w:val="20"/>
                      <w:shd w:val="clear" w:color="auto" w:fill="FFFFFF"/>
                    </w:rPr>
                    <w:t>に規定する事項並びに同法第八十九条の三の規定による障害者等への支援の体制についての調査審議及び関係機関等の相互の連絡調整に関する事務</w:t>
                  </w:r>
                </w:p>
              </w:tc>
            </w:tr>
            <w:tr w:rsidR="006C12C1" w:rsidTr="006C12C1">
              <w:tc>
                <w:tcPr>
                  <w:tcW w:w="1780" w:type="dxa"/>
                  <w:textDirection w:val="lrTbV"/>
                </w:tcPr>
                <w:p w:rsidR="006C12C1"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tcPr>
                <w:p w:rsidR="006C12C1" w:rsidRDefault="00A2071F"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AC75F5" w:rsidRDefault="00A2071F" w:rsidP="003A02C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262CF8" w:rsidRPr="00262CF8">
              <w:rPr>
                <w:rFonts w:ascii="ＭＳ 明朝" w:hAnsi="ＭＳ 明朝" w:cs="ＭＳ ゴシック" w:hint="eastAsia"/>
                <w:spacing w:val="-6"/>
                <w:kern w:val="0"/>
                <w:sz w:val="20"/>
                <w:szCs w:val="20"/>
              </w:rPr>
              <w:t>二　（略）</w:t>
            </w:r>
          </w:p>
          <w:tbl>
            <w:tblPr>
              <w:tblStyle w:val="a4"/>
              <w:tblW w:w="0" w:type="auto"/>
              <w:tblInd w:w="374" w:type="dxa"/>
              <w:tblLook w:val="04A0" w:firstRow="1" w:lastRow="0" w:firstColumn="1" w:lastColumn="0" w:noHBand="0" w:noVBand="1"/>
            </w:tblPr>
            <w:tblGrid>
              <w:gridCol w:w="1780"/>
              <w:gridCol w:w="2155"/>
            </w:tblGrid>
            <w:tr w:rsidR="00AC75F5" w:rsidTr="009B211C">
              <w:tc>
                <w:tcPr>
                  <w:tcW w:w="1780" w:type="dxa"/>
                  <w:textDirection w:val="lrTbV"/>
                  <w:vAlign w:val="center"/>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名称</w:t>
                  </w:r>
                </w:p>
              </w:tc>
              <w:tc>
                <w:tcPr>
                  <w:tcW w:w="2155" w:type="dxa"/>
                  <w:textDirection w:val="lrTbV"/>
                  <w:vAlign w:val="center"/>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担任する事務</w:t>
                  </w:r>
                </w:p>
              </w:tc>
            </w:tr>
            <w:tr w:rsidR="00AC75F5" w:rsidTr="009B211C">
              <w:tc>
                <w:tcPr>
                  <w:tcW w:w="1780" w:type="dxa"/>
                  <w:textDirection w:val="lrTbV"/>
                  <w:vAlign w:val="center"/>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vAlign w:val="center"/>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AC75F5" w:rsidTr="0076111F">
              <w:trPr>
                <w:trHeight w:val="4824"/>
              </w:trPr>
              <w:tc>
                <w:tcPr>
                  <w:tcW w:w="1780" w:type="dxa"/>
                  <w:shd w:val="clear" w:color="auto" w:fill="auto"/>
                  <w:textDirection w:val="lrTbV"/>
                  <w:vAlign w:val="center"/>
                </w:tcPr>
                <w:p w:rsidR="00AC75F5" w:rsidRPr="00020A89" w:rsidRDefault="00AC75F5" w:rsidP="0035276E">
                  <w:pPr>
                    <w:framePr w:hSpace="142" w:wrap="around" w:vAnchor="text" w:hAnchor="margin" w:y="184"/>
                    <w:spacing w:line="240" w:lineRule="exact"/>
                    <w:rPr>
                      <w:rFonts w:ascii="ＭＳ 明朝" w:hAnsi="ＭＳ 明朝" w:cs="ＭＳ ゴシック"/>
                      <w:spacing w:val="-6"/>
                      <w:kern w:val="0"/>
                      <w:sz w:val="20"/>
                      <w:szCs w:val="20"/>
                      <w:u w:val="single"/>
                    </w:rPr>
                  </w:pPr>
                  <w:r w:rsidRPr="00020A89">
                    <w:rPr>
                      <w:rFonts w:ascii="ＭＳ 明朝" w:hAnsi="ＭＳ 明朝" w:cs="ＭＳ ゴシック" w:hint="eastAsia"/>
                      <w:spacing w:val="-6"/>
                      <w:kern w:val="0"/>
                      <w:sz w:val="20"/>
                      <w:szCs w:val="20"/>
                      <w:u w:val="single"/>
                    </w:rPr>
                    <w:t>大阪府立学校いじめ防止対策審議会</w:t>
                  </w:r>
                </w:p>
              </w:tc>
              <w:tc>
                <w:tcPr>
                  <w:tcW w:w="2155" w:type="dxa"/>
                  <w:shd w:val="clear" w:color="auto" w:fill="auto"/>
                  <w:textDirection w:val="lrTbV"/>
                  <w:vAlign w:val="center"/>
                </w:tcPr>
                <w:p w:rsidR="00AC75F5" w:rsidRPr="000150F3" w:rsidRDefault="00AC75F5" w:rsidP="0035276E">
                  <w:pPr>
                    <w:framePr w:hSpace="142" w:wrap="around" w:vAnchor="text" w:hAnchor="margin" w:y="184"/>
                    <w:spacing w:line="240" w:lineRule="exact"/>
                    <w:rPr>
                      <w:rFonts w:ascii="ＭＳ 明朝" w:hAnsi="ＭＳ 明朝" w:cs="ＭＳ ゴシック"/>
                      <w:spacing w:val="-6"/>
                      <w:kern w:val="0"/>
                      <w:sz w:val="20"/>
                      <w:szCs w:val="20"/>
                    </w:rPr>
                  </w:pPr>
                  <w:r w:rsidRPr="000150F3">
                    <w:rPr>
                      <w:rFonts w:ascii="ＭＳ 明朝" w:hAnsi="ＭＳ 明朝" w:cs="ＭＳ ゴシック" w:hint="eastAsia"/>
                      <w:spacing w:val="-6"/>
                      <w:kern w:val="0"/>
                      <w:sz w:val="20"/>
                      <w:szCs w:val="20"/>
                    </w:rPr>
                    <w:t>府立学校の児童及び生徒に係るいじめ防止対策推進法第十四条第三項に規定するいじめの防止等のための対策についての調査審議及び同法第二十八条第一項に規定する重大事態に係る事実関係を明確にするための調査に関する事務</w:t>
                  </w:r>
                </w:p>
              </w:tc>
            </w:tr>
            <w:tr w:rsidR="00AC75F5" w:rsidTr="0076111F">
              <w:trPr>
                <w:trHeight w:val="129"/>
              </w:trPr>
              <w:tc>
                <w:tcPr>
                  <w:tcW w:w="1780" w:type="dxa"/>
                  <w:textDirection w:val="lrTbV"/>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tcPr>
                <w:p w:rsidR="00AC75F5" w:rsidRDefault="00AC75F5" w:rsidP="0035276E">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0140BF" w:rsidRPr="006C12C1" w:rsidRDefault="00262CF8" w:rsidP="003A02CE">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三・</w:t>
            </w:r>
            <w:r w:rsidR="00A2071F">
              <w:rPr>
                <w:rFonts w:ascii="ＭＳ 明朝" w:hAnsi="ＭＳ 明朝" w:cs="ＭＳ ゴシック" w:hint="eastAsia"/>
                <w:spacing w:val="-6"/>
                <w:kern w:val="0"/>
                <w:sz w:val="20"/>
                <w:szCs w:val="20"/>
              </w:rPr>
              <w:t>四　（略）</w:t>
            </w:r>
          </w:p>
        </w:tc>
      </w:tr>
      <w:tr w:rsidR="0055173F" w:rsidRPr="007758A9" w:rsidTr="003A02CE">
        <w:trPr>
          <w:trHeight w:val="270"/>
        </w:trPr>
        <w:tc>
          <w:tcPr>
            <w:tcW w:w="4522" w:type="dxa"/>
            <w:tcBorders>
              <w:top w:val="nil"/>
            </w:tcBorders>
            <w:textDirection w:val="lrTbV"/>
          </w:tcPr>
          <w:p w:rsidR="0055173F" w:rsidRPr="007758A9" w:rsidRDefault="0055173F" w:rsidP="003A02C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7758A9" w:rsidRDefault="0055173F" w:rsidP="003A02CE">
            <w:pPr>
              <w:autoSpaceDN w:val="0"/>
              <w:spacing w:line="240" w:lineRule="exact"/>
              <w:rPr>
                <w:rFonts w:ascii="ＭＳ 明朝" w:hAnsi="ＭＳ 明朝"/>
                <w:spacing w:val="-6"/>
                <w:sz w:val="20"/>
                <w:szCs w:val="20"/>
              </w:rPr>
            </w:pPr>
          </w:p>
        </w:tc>
      </w:tr>
    </w:tbl>
    <w:p w:rsidR="006141C1" w:rsidRPr="007758A9" w:rsidRDefault="00A124D1" w:rsidP="00B17B7E">
      <w:pPr>
        <w:autoSpaceDN w:val="0"/>
        <w:spacing w:beforeLines="50" w:before="182"/>
        <w:ind w:firstLineChars="300" w:firstLine="756"/>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2671445</wp:posOffset>
                </wp:positionH>
                <wp:positionV relativeFrom="paragraph">
                  <wp:posOffset>7846695</wp:posOffset>
                </wp:positionV>
                <wp:extent cx="523875"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238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24D1" w:rsidRPr="00A124D1" w:rsidRDefault="0035276E" w:rsidP="00A124D1">
                            <w:pPr>
                              <w:rPr>
                                <w:color w:val="000000" w:themeColor="text1"/>
                              </w:rPr>
                            </w:pPr>
                            <w:r>
                              <w:rPr>
                                <w:rFonts w:hint="eastAsia"/>
                                <w:color w:val="000000" w:themeColor="text1"/>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10.35pt;margin-top:617.85pt;width:41.2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" filled="f" stroked="f" strokeweight="2pt">
                <v:textbox>
                  <w:txbxContent>
                    <w:p w:rsidR="00A124D1" w:rsidRPr="00A124D1" w:rsidRDefault="0035276E" w:rsidP="00A124D1">
                      <w:pPr>
                        <w:rPr>
                          <w:color w:val="000000" w:themeColor="text1"/>
                        </w:rPr>
                      </w:pPr>
                      <w:r>
                        <w:rPr>
                          <w:rFonts w:hint="eastAsia"/>
                          <w:color w:val="000000" w:themeColor="text1"/>
                        </w:rPr>
                        <w:t>1-9</w:t>
                      </w:r>
                    </w:p>
                  </w:txbxContent>
                </v:textbox>
              </v:rect>
            </w:pict>
          </mc:Fallback>
        </mc:AlternateContent>
      </w:r>
      <w:r w:rsidR="004A1B5C" w:rsidRPr="007758A9">
        <w:rPr>
          <w:rFonts w:ascii="ＭＳ 明朝" w:hAnsi="ＭＳ 明朝" w:hint="eastAsia"/>
        </w:rPr>
        <w:t>附　則</w:t>
      </w:r>
    </w:p>
    <w:p w:rsidR="00504FE9" w:rsidRPr="00504FE9" w:rsidRDefault="00A124D1" w:rsidP="00B17B7E">
      <w:pPr>
        <w:autoSpaceDN w:val="0"/>
        <w:ind w:right="-2"/>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1312" behindDoc="0" locked="0" layoutInCell="1" allowOverlap="1" wp14:anchorId="17EE8EBA" wp14:editId="35E627C6">
                <wp:simplePos x="0" y="0"/>
                <wp:positionH relativeFrom="margin">
                  <wp:posOffset>2642870</wp:posOffset>
                </wp:positionH>
                <wp:positionV relativeFrom="paragraph">
                  <wp:posOffset>9462135</wp:posOffset>
                </wp:positionV>
                <wp:extent cx="647700" cy="495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47700" cy="495300"/>
                        </a:xfrm>
                        <a:prstGeom prst="rect">
                          <a:avLst/>
                        </a:prstGeom>
                        <a:noFill/>
                        <a:ln w="25400" cap="flat" cmpd="sng" algn="ctr">
                          <a:noFill/>
                          <a:prstDash val="solid"/>
                        </a:ln>
                        <a:effectLst/>
                      </wps:spPr>
                      <wps:txbx>
                        <w:txbxContent>
                          <w:p w:rsidR="00A124D1" w:rsidRPr="00A124D1" w:rsidRDefault="00A124D1" w:rsidP="00A124D1">
                            <w:pPr>
                              <w:rPr>
                                <w:color w:val="000000" w:themeColor="text1"/>
                              </w:rPr>
                            </w:pPr>
                            <w:r>
                              <w:rPr>
                                <w:rFonts w:hint="eastAsia"/>
                                <w:color w:val="000000" w:themeColor="text1"/>
                              </w:rPr>
                              <w:t>1</w:t>
                            </w:r>
                            <w:r w:rsidR="0035276E">
                              <w:rPr>
                                <w:rFonts w:hint="eastAsia"/>
                                <w:color w:val="000000" w:themeColor="text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E8EBA" id="正方形/長方形 2" o:spid="_x0000_s1027" style="position:absolute;left:0;text-align:left;margin-left:208.1pt;margin-top:745.05pt;width:51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" filled="f" stroked="f" strokeweight="2pt">
                <v:textbox>
                  <w:txbxContent>
                    <w:p w:rsidR="00A124D1" w:rsidRPr="00A124D1" w:rsidRDefault="00A124D1" w:rsidP="00A124D1">
                      <w:pPr>
                        <w:rPr>
                          <w:color w:val="000000" w:themeColor="text1"/>
                        </w:rPr>
                      </w:pPr>
                      <w:r>
                        <w:rPr>
                          <w:rFonts w:hint="eastAsia"/>
                          <w:color w:val="000000" w:themeColor="text1"/>
                        </w:rPr>
                        <w:t>1</w:t>
                      </w:r>
                      <w:r w:rsidR="0035276E">
                        <w:rPr>
                          <w:rFonts w:hint="eastAsia"/>
                          <w:color w:val="000000" w:themeColor="text1"/>
                        </w:rPr>
                        <w:t>-10</w:t>
                      </w:r>
                    </w:p>
                  </w:txbxContent>
                </v:textbox>
                <w10:wrap anchorx="margin"/>
              </v:rect>
            </w:pict>
          </mc:Fallback>
        </mc:AlternateContent>
      </w:r>
      <w:r w:rsidR="005C0B53" w:rsidRPr="007758A9">
        <w:rPr>
          <w:rFonts w:ascii="ＭＳ 明朝" w:hAnsi="ＭＳ 明朝" w:hint="eastAsia"/>
        </w:rPr>
        <w:t xml:space="preserve">　この条例</w:t>
      </w:r>
      <w:r w:rsidR="00341730">
        <w:rPr>
          <w:rFonts w:ascii="ＭＳ 明朝" w:hAnsi="ＭＳ 明朝" w:hint="eastAsia"/>
        </w:rPr>
        <w:t>は、</w:t>
      </w:r>
      <w:r w:rsidR="00CB65C0">
        <w:rPr>
          <w:rFonts w:ascii="ＭＳ 明朝" w:hAnsi="ＭＳ 明朝" w:hint="eastAsia"/>
        </w:rPr>
        <w:t>公布の日</w:t>
      </w:r>
      <w:r w:rsidR="001040D8">
        <w:rPr>
          <w:rFonts w:ascii="ＭＳ 明朝" w:hAnsi="ＭＳ 明朝" w:hint="eastAsia"/>
        </w:rPr>
        <w:t>から</w:t>
      </w:r>
      <w:r w:rsidR="00341730">
        <w:rPr>
          <w:rFonts w:ascii="ＭＳ 明朝" w:hAnsi="ＭＳ 明朝" w:hint="eastAsia"/>
        </w:rPr>
        <w:t>施行する</w:t>
      </w:r>
      <w:r w:rsidR="005C0B53" w:rsidRPr="007758A9">
        <w:rPr>
          <w:rFonts w:ascii="ＭＳ 明朝" w:hAnsi="ＭＳ 明朝" w:hint="eastAsia"/>
        </w:rPr>
        <w:t>。</w:t>
      </w:r>
      <w:bookmarkStart w:id="0" w:name="_GoBack"/>
      <w:bookmarkEnd w:id="0"/>
    </w:p>
    <w:sectPr w:rsidR="00504FE9" w:rsidRPr="00504FE9" w:rsidSect="005C4A58">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81C" w:rsidRDefault="0043681C">
      <w:r>
        <w:separator/>
      </w:r>
    </w:p>
  </w:endnote>
  <w:endnote w:type="continuationSeparator" w:id="0">
    <w:p w:rsidR="0043681C" w:rsidRDefault="0043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C1" w:rsidRDefault="006C12C1"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6C12C1" w:rsidRDefault="006C12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81C" w:rsidRDefault="0043681C">
      <w:r>
        <w:separator/>
      </w:r>
    </w:p>
  </w:footnote>
  <w:footnote w:type="continuationSeparator" w:id="0">
    <w:p w:rsidR="0043681C" w:rsidRDefault="00436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0A89"/>
    <w:rsid w:val="00040D20"/>
    <w:rsid w:val="00042476"/>
    <w:rsid w:val="00045E41"/>
    <w:rsid w:val="00054343"/>
    <w:rsid w:val="00055A49"/>
    <w:rsid w:val="00056B39"/>
    <w:rsid w:val="0006765B"/>
    <w:rsid w:val="00067FE9"/>
    <w:rsid w:val="00070D94"/>
    <w:rsid w:val="00080A94"/>
    <w:rsid w:val="00083D87"/>
    <w:rsid w:val="000901EE"/>
    <w:rsid w:val="000936B0"/>
    <w:rsid w:val="000A40F1"/>
    <w:rsid w:val="000A5093"/>
    <w:rsid w:val="000B38C3"/>
    <w:rsid w:val="000B4302"/>
    <w:rsid w:val="000C0F10"/>
    <w:rsid w:val="000C78E3"/>
    <w:rsid w:val="000D34C5"/>
    <w:rsid w:val="000E6595"/>
    <w:rsid w:val="000E6A31"/>
    <w:rsid w:val="000F2677"/>
    <w:rsid w:val="00101D1C"/>
    <w:rsid w:val="001040D8"/>
    <w:rsid w:val="001135B4"/>
    <w:rsid w:val="00115073"/>
    <w:rsid w:val="001230B3"/>
    <w:rsid w:val="00135329"/>
    <w:rsid w:val="00140AB4"/>
    <w:rsid w:val="00143FAE"/>
    <w:rsid w:val="0014496A"/>
    <w:rsid w:val="00147020"/>
    <w:rsid w:val="001501CC"/>
    <w:rsid w:val="0015207B"/>
    <w:rsid w:val="0015348F"/>
    <w:rsid w:val="001633C4"/>
    <w:rsid w:val="001655AF"/>
    <w:rsid w:val="00187D7A"/>
    <w:rsid w:val="001B1F03"/>
    <w:rsid w:val="001B2E50"/>
    <w:rsid w:val="001B4C7D"/>
    <w:rsid w:val="001C22AD"/>
    <w:rsid w:val="00205EA2"/>
    <w:rsid w:val="002356BB"/>
    <w:rsid w:val="00243DA2"/>
    <w:rsid w:val="00246284"/>
    <w:rsid w:val="002529AC"/>
    <w:rsid w:val="002532EE"/>
    <w:rsid w:val="00262CF8"/>
    <w:rsid w:val="00263CB2"/>
    <w:rsid w:val="00267A11"/>
    <w:rsid w:val="00272DEE"/>
    <w:rsid w:val="00283427"/>
    <w:rsid w:val="00284BC8"/>
    <w:rsid w:val="002862CE"/>
    <w:rsid w:val="0029741B"/>
    <w:rsid w:val="002A3F2A"/>
    <w:rsid w:val="002A669A"/>
    <w:rsid w:val="002B67A7"/>
    <w:rsid w:val="002C2ED2"/>
    <w:rsid w:val="00303E90"/>
    <w:rsid w:val="00322114"/>
    <w:rsid w:val="00330C58"/>
    <w:rsid w:val="00341730"/>
    <w:rsid w:val="00347CAF"/>
    <w:rsid w:val="0035276E"/>
    <w:rsid w:val="00372148"/>
    <w:rsid w:val="00376562"/>
    <w:rsid w:val="003A02CE"/>
    <w:rsid w:val="003A3FAE"/>
    <w:rsid w:val="003C1ADC"/>
    <w:rsid w:val="003C5B3D"/>
    <w:rsid w:val="003D33C9"/>
    <w:rsid w:val="003D41F1"/>
    <w:rsid w:val="00423C86"/>
    <w:rsid w:val="00431FD0"/>
    <w:rsid w:val="0043681C"/>
    <w:rsid w:val="00447389"/>
    <w:rsid w:val="00447882"/>
    <w:rsid w:val="004573B9"/>
    <w:rsid w:val="00490228"/>
    <w:rsid w:val="00497CD7"/>
    <w:rsid w:val="004A1B5C"/>
    <w:rsid w:val="004B47E8"/>
    <w:rsid w:val="004D38FC"/>
    <w:rsid w:val="004D6A60"/>
    <w:rsid w:val="004E1387"/>
    <w:rsid w:val="004E4318"/>
    <w:rsid w:val="004E7B56"/>
    <w:rsid w:val="004F4C36"/>
    <w:rsid w:val="004F4ECD"/>
    <w:rsid w:val="00504FE9"/>
    <w:rsid w:val="00526A5F"/>
    <w:rsid w:val="0053578F"/>
    <w:rsid w:val="00540E1A"/>
    <w:rsid w:val="005464BA"/>
    <w:rsid w:val="0055173F"/>
    <w:rsid w:val="00552C8D"/>
    <w:rsid w:val="005800E0"/>
    <w:rsid w:val="00581F66"/>
    <w:rsid w:val="00586915"/>
    <w:rsid w:val="005A7855"/>
    <w:rsid w:val="005B4C64"/>
    <w:rsid w:val="005C0B53"/>
    <w:rsid w:val="005C4A58"/>
    <w:rsid w:val="005C4D72"/>
    <w:rsid w:val="006141C1"/>
    <w:rsid w:val="00622B1D"/>
    <w:rsid w:val="006328F9"/>
    <w:rsid w:val="00643F50"/>
    <w:rsid w:val="00694B3E"/>
    <w:rsid w:val="006A0545"/>
    <w:rsid w:val="006B10E4"/>
    <w:rsid w:val="006C12C1"/>
    <w:rsid w:val="006D64CF"/>
    <w:rsid w:val="006E1B8D"/>
    <w:rsid w:val="006F77C0"/>
    <w:rsid w:val="007302B8"/>
    <w:rsid w:val="0076111F"/>
    <w:rsid w:val="007730E1"/>
    <w:rsid w:val="007758A9"/>
    <w:rsid w:val="007769DA"/>
    <w:rsid w:val="00784C36"/>
    <w:rsid w:val="00791CE4"/>
    <w:rsid w:val="00795610"/>
    <w:rsid w:val="007A0A4C"/>
    <w:rsid w:val="007C1CA2"/>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9141BA"/>
    <w:rsid w:val="00934869"/>
    <w:rsid w:val="00947824"/>
    <w:rsid w:val="00953B93"/>
    <w:rsid w:val="0096599C"/>
    <w:rsid w:val="009803B8"/>
    <w:rsid w:val="00986218"/>
    <w:rsid w:val="009A66CD"/>
    <w:rsid w:val="009C2FDB"/>
    <w:rsid w:val="009C4E50"/>
    <w:rsid w:val="009C6727"/>
    <w:rsid w:val="00A03466"/>
    <w:rsid w:val="00A124D1"/>
    <w:rsid w:val="00A2061B"/>
    <w:rsid w:val="00A2071F"/>
    <w:rsid w:val="00A21219"/>
    <w:rsid w:val="00A4065E"/>
    <w:rsid w:val="00A604ED"/>
    <w:rsid w:val="00A6584A"/>
    <w:rsid w:val="00A72200"/>
    <w:rsid w:val="00A83333"/>
    <w:rsid w:val="00A93C3F"/>
    <w:rsid w:val="00AC7444"/>
    <w:rsid w:val="00AC75F5"/>
    <w:rsid w:val="00AE390E"/>
    <w:rsid w:val="00AE6EC7"/>
    <w:rsid w:val="00AF4839"/>
    <w:rsid w:val="00B00D88"/>
    <w:rsid w:val="00B17B7E"/>
    <w:rsid w:val="00B356A7"/>
    <w:rsid w:val="00B72866"/>
    <w:rsid w:val="00B73D39"/>
    <w:rsid w:val="00B8218E"/>
    <w:rsid w:val="00B9364E"/>
    <w:rsid w:val="00B964B8"/>
    <w:rsid w:val="00BB03AC"/>
    <w:rsid w:val="00BC361D"/>
    <w:rsid w:val="00BE52B5"/>
    <w:rsid w:val="00C078C5"/>
    <w:rsid w:val="00C07EF8"/>
    <w:rsid w:val="00C1476E"/>
    <w:rsid w:val="00C4088A"/>
    <w:rsid w:val="00C60913"/>
    <w:rsid w:val="00C63297"/>
    <w:rsid w:val="00C856E8"/>
    <w:rsid w:val="00C87764"/>
    <w:rsid w:val="00C94F55"/>
    <w:rsid w:val="00CB65C0"/>
    <w:rsid w:val="00D147F2"/>
    <w:rsid w:val="00D14A5A"/>
    <w:rsid w:val="00D30C88"/>
    <w:rsid w:val="00D330B3"/>
    <w:rsid w:val="00D3436E"/>
    <w:rsid w:val="00D36B5A"/>
    <w:rsid w:val="00D36CAB"/>
    <w:rsid w:val="00D37334"/>
    <w:rsid w:val="00D47EA1"/>
    <w:rsid w:val="00D53FB7"/>
    <w:rsid w:val="00D6083A"/>
    <w:rsid w:val="00D81A7F"/>
    <w:rsid w:val="00D92B20"/>
    <w:rsid w:val="00DC728A"/>
    <w:rsid w:val="00DD168B"/>
    <w:rsid w:val="00DD5AF3"/>
    <w:rsid w:val="00DD77F1"/>
    <w:rsid w:val="00DE61AC"/>
    <w:rsid w:val="00E40068"/>
    <w:rsid w:val="00E41F06"/>
    <w:rsid w:val="00E82280"/>
    <w:rsid w:val="00E97D34"/>
    <w:rsid w:val="00EC2D69"/>
    <w:rsid w:val="00ED29C9"/>
    <w:rsid w:val="00F0248F"/>
    <w:rsid w:val="00F24301"/>
    <w:rsid w:val="00F320CA"/>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5CCCAA"/>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205EA2"/>
    <w:rPr>
      <w:rFonts w:asciiTheme="majorHAnsi" w:eastAsiaTheme="majorEastAsia" w:hAnsiTheme="majorHAnsi" w:cstheme="majorBidi"/>
      <w:sz w:val="18"/>
      <w:szCs w:val="18"/>
    </w:rPr>
  </w:style>
  <w:style w:type="character" w:customStyle="1" w:styleId="a9">
    <w:name w:val="吹き出し (文字)"/>
    <w:basedOn w:val="a0"/>
    <w:link w:val="a8"/>
    <w:semiHidden/>
    <w:rsid w:val="00205EA2"/>
    <w:rPr>
      <w:rFonts w:asciiTheme="majorHAnsi" w:eastAsiaTheme="majorEastAsia" w:hAnsiTheme="majorHAnsi" w:cstheme="majorBidi"/>
      <w:kern w:val="2"/>
      <w:sz w:val="18"/>
      <w:szCs w:val="18"/>
    </w:rPr>
  </w:style>
  <w:style w:type="character" w:customStyle="1" w:styleId="brackets-color1">
    <w:name w:val="brackets-color1"/>
    <w:basedOn w:val="a0"/>
    <w:rsid w:val="00C0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665F25-A8E1-4C8C-8874-0AF7100F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842</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12</cp:revision>
  <cp:lastPrinted>2023-05-09T07:43:00Z</cp:lastPrinted>
  <dcterms:created xsi:type="dcterms:W3CDTF">2023-05-02T03:16:00Z</dcterms:created>
  <dcterms:modified xsi:type="dcterms:W3CDTF">2023-05-26T07:21:00Z</dcterms:modified>
</cp:coreProperties>
</file>