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B70A7" w14:textId="49D9EC3D" w:rsidR="00B91958" w:rsidRDefault="001A0669" w:rsidP="001A0669">
      <w:pPr>
        <w:jc w:val="left"/>
      </w:pPr>
      <w:r>
        <w:rPr>
          <w:rFonts w:hint="eastAsia"/>
        </w:rPr>
        <w:t>○事件議決案</w:t>
      </w:r>
    </w:p>
    <w:tbl>
      <w:tblPr>
        <w:tblW w:w="892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1"/>
        <w:gridCol w:w="2299"/>
        <w:gridCol w:w="5776"/>
      </w:tblGrid>
      <w:tr w:rsidR="001A0669" w:rsidRPr="001A0669" w14:paraId="585CE453" w14:textId="77777777" w:rsidTr="001A0669">
        <w:trPr>
          <w:cantSplit/>
          <w:trHeight w:val="472"/>
        </w:trPr>
        <w:tc>
          <w:tcPr>
            <w:tcW w:w="851" w:type="dxa"/>
            <w:tcBorders>
              <w:top w:val="single" w:sz="12" w:space="0" w:color="auto"/>
              <w:bottom w:val="single" w:sz="12" w:space="0" w:color="auto"/>
            </w:tcBorders>
            <w:vAlign w:val="center"/>
          </w:tcPr>
          <w:p w14:paraId="46E32397" w14:textId="77777777" w:rsidR="001A0669" w:rsidRPr="001A0669" w:rsidRDefault="001A0669" w:rsidP="001A0669">
            <w:pPr>
              <w:snapToGrid w:val="0"/>
              <w:jc w:val="center"/>
              <w:rPr>
                <w:sz w:val="22"/>
              </w:rPr>
            </w:pPr>
            <w:bookmarkStart w:id="0" w:name="_Hlk39825034"/>
            <w:r w:rsidRPr="001A0669">
              <w:rPr>
                <w:sz w:val="21"/>
              </w:rPr>
              <w:br w:type="page"/>
            </w:r>
            <w:r w:rsidRPr="001A0669">
              <w:rPr>
                <w:sz w:val="21"/>
              </w:rPr>
              <w:br w:type="page"/>
            </w:r>
            <w:r w:rsidRPr="001A0669">
              <w:rPr>
                <w:sz w:val="21"/>
              </w:rPr>
              <w:br w:type="page"/>
            </w:r>
            <w:r w:rsidRPr="001A0669">
              <w:rPr>
                <w:sz w:val="21"/>
              </w:rPr>
              <w:br w:type="page"/>
            </w:r>
            <w:r w:rsidRPr="001A0669">
              <w:rPr>
                <w:rFonts w:hint="eastAsia"/>
                <w:sz w:val="22"/>
              </w:rPr>
              <w:t>番号</w:t>
            </w:r>
          </w:p>
        </w:tc>
        <w:tc>
          <w:tcPr>
            <w:tcW w:w="2299" w:type="dxa"/>
            <w:tcBorders>
              <w:top w:val="single" w:sz="12" w:space="0" w:color="auto"/>
              <w:bottom w:val="single" w:sz="12" w:space="0" w:color="auto"/>
            </w:tcBorders>
            <w:vAlign w:val="center"/>
          </w:tcPr>
          <w:p w14:paraId="12D93C30" w14:textId="77777777" w:rsidR="001A0669" w:rsidRPr="001A0669" w:rsidRDefault="001A0669" w:rsidP="001A0669">
            <w:pPr>
              <w:snapToGrid w:val="0"/>
              <w:jc w:val="center"/>
              <w:rPr>
                <w:sz w:val="22"/>
              </w:rPr>
            </w:pPr>
            <w:r w:rsidRPr="001A0669">
              <w:rPr>
                <w:rFonts w:hint="eastAsia"/>
                <w:sz w:val="22"/>
              </w:rPr>
              <w:t>件　　　　　名</w:t>
            </w:r>
          </w:p>
        </w:tc>
        <w:tc>
          <w:tcPr>
            <w:tcW w:w="5776" w:type="dxa"/>
            <w:tcBorders>
              <w:top w:val="single" w:sz="12" w:space="0" w:color="auto"/>
              <w:bottom w:val="single" w:sz="12" w:space="0" w:color="auto"/>
            </w:tcBorders>
            <w:vAlign w:val="center"/>
          </w:tcPr>
          <w:p w14:paraId="32E6B93B" w14:textId="77777777" w:rsidR="001A0669" w:rsidRPr="001A0669" w:rsidRDefault="001A0669" w:rsidP="001A0669">
            <w:pPr>
              <w:snapToGrid w:val="0"/>
              <w:jc w:val="center"/>
              <w:rPr>
                <w:sz w:val="22"/>
              </w:rPr>
            </w:pPr>
            <w:r w:rsidRPr="001A0669">
              <w:rPr>
                <w:rFonts w:hint="eastAsia"/>
                <w:sz w:val="22"/>
              </w:rPr>
              <w:t>概　　　　　　　　　　要</w:t>
            </w:r>
          </w:p>
        </w:tc>
      </w:tr>
      <w:tr w:rsidR="001A0669" w:rsidRPr="001A0669" w14:paraId="04AAD264" w14:textId="77777777" w:rsidTr="002345E9">
        <w:trPr>
          <w:cantSplit/>
          <w:trHeight w:val="1527"/>
        </w:trPr>
        <w:tc>
          <w:tcPr>
            <w:tcW w:w="851" w:type="dxa"/>
            <w:tcBorders>
              <w:top w:val="single" w:sz="12" w:space="0" w:color="auto"/>
              <w:bottom w:val="single" w:sz="12" w:space="0" w:color="auto"/>
            </w:tcBorders>
            <w:shd w:val="clear" w:color="auto" w:fill="auto"/>
          </w:tcPr>
          <w:p w14:paraId="7EB02076" w14:textId="77777777" w:rsidR="001A0669" w:rsidRPr="001A0669" w:rsidRDefault="001A0669" w:rsidP="001A0669">
            <w:pPr>
              <w:jc w:val="center"/>
              <w:rPr>
                <w:sz w:val="21"/>
              </w:rPr>
            </w:pPr>
            <w:r>
              <w:rPr>
                <w:rFonts w:hint="eastAsia"/>
                <w:sz w:val="21"/>
              </w:rPr>
              <w:t>１</w:t>
            </w:r>
          </w:p>
        </w:tc>
        <w:tc>
          <w:tcPr>
            <w:tcW w:w="2299" w:type="dxa"/>
            <w:tcBorders>
              <w:top w:val="single" w:sz="12" w:space="0" w:color="auto"/>
              <w:bottom w:val="single" w:sz="12" w:space="0" w:color="auto"/>
            </w:tcBorders>
            <w:shd w:val="clear" w:color="auto" w:fill="auto"/>
          </w:tcPr>
          <w:p w14:paraId="45DA46AD" w14:textId="6F3529AE" w:rsidR="001A0669" w:rsidRPr="001A0669" w:rsidRDefault="002345E9" w:rsidP="001A0669">
            <w:pPr>
              <w:ind w:rightChars="-32" w:right="-77"/>
              <w:jc w:val="left"/>
              <w:rPr>
                <w:sz w:val="21"/>
              </w:rPr>
            </w:pPr>
            <w:r w:rsidRPr="002345E9">
              <w:rPr>
                <w:rFonts w:hint="eastAsia"/>
                <w:sz w:val="21"/>
              </w:rPr>
              <w:t>工事請負契約締結の件（大阪府立中之島図書館書庫棟改築その他工事）</w:t>
            </w:r>
          </w:p>
        </w:tc>
        <w:tc>
          <w:tcPr>
            <w:tcW w:w="5776" w:type="dxa"/>
            <w:tcBorders>
              <w:top w:val="single" w:sz="12" w:space="0" w:color="auto"/>
              <w:bottom w:val="single" w:sz="12" w:space="0" w:color="auto"/>
            </w:tcBorders>
            <w:shd w:val="clear" w:color="auto" w:fill="auto"/>
          </w:tcPr>
          <w:p w14:paraId="66AC0227" w14:textId="77777777" w:rsidR="002345E9" w:rsidRPr="002345E9" w:rsidRDefault="002345E9" w:rsidP="002345E9">
            <w:pPr>
              <w:ind w:firstLineChars="100" w:firstLine="210"/>
              <w:rPr>
                <w:sz w:val="21"/>
              </w:rPr>
            </w:pPr>
            <w:r w:rsidRPr="002345E9">
              <w:rPr>
                <w:rFonts w:hint="eastAsia"/>
                <w:sz w:val="21"/>
              </w:rPr>
              <w:t>大阪府立中之島図書館書庫棟改築その他工事請負契約</w:t>
            </w:r>
          </w:p>
          <w:p w14:paraId="6FDB736C" w14:textId="77777777" w:rsidR="002345E9" w:rsidRPr="002345E9" w:rsidRDefault="002345E9" w:rsidP="002345E9">
            <w:pPr>
              <w:ind w:leftChars="205" w:left="492"/>
              <w:rPr>
                <w:sz w:val="21"/>
              </w:rPr>
            </w:pPr>
            <w:r w:rsidRPr="002345E9">
              <w:rPr>
                <w:rFonts w:hint="eastAsia"/>
                <w:sz w:val="21"/>
              </w:rPr>
              <w:t>契約金額　１０億４，５００万円</w:t>
            </w:r>
          </w:p>
          <w:p w14:paraId="358D3158" w14:textId="1BB9353A" w:rsidR="001A0669" w:rsidRPr="00B00CD3" w:rsidRDefault="002345E9" w:rsidP="00B00CD3">
            <w:pPr>
              <w:ind w:firstLineChars="200" w:firstLine="420"/>
              <w:rPr>
                <w:sz w:val="21"/>
              </w:rPr>
            </w:pPr>
            <w:r w:rsidRPr="002345E9">
              <w:rPr>
                <w:rFonts w:hint="eastAsia"/>
                <w:sz w:val="21"/>
              </w:rPr>
              <w:t>請</w:t>
            </w:r>
            <w:r w:rsidRPr="002345E9">
              <w:rPr>
                <w:rFonts w:hint="eastAsia"/>
                <w:sz w:val="21"/>
              </w:rPr>
              <w:t xml:space="preserve"> </w:t>
            </w:r>
            <w:r w:rsidRPr="002345E9">
              <w:rPr>
                <w:rFonts w:hint="eastAsia"/>
                <w:sz w:val="21"/>
              </w:rPr>
              <w:t>負</w:t>
            </w:r>
            <w:r w:rsidRPr="002345E9">
              <w:rPr>
                <w:rFonts w:hint="eastAsia"/>
                <w:sz w:val="21"/>
              </w:rPr>
              <w:t xml:space="preserve"> </w:t>
            </w:r>
            <w:r w:rsidRPr="002345E9">
              <w:rPr>
                <w:rFonts w:hint="eastAsia"/>
                <w:sz w:val="21"/>
              </w:rPr>
              <w:t xml:space="preserve">者　</w:t>
            </w:r>
            <w:r w:rsidRPr="002345E9">
              <w:rPr>
                <w:rFonts w:hint="eastAsia"/>
                <w:kern w:val="0"/>
                <w:sz w:val="21"/>
              </w:rPr>
              <w:t>株式会社藤木工務店　大阪本店</w:t>
            </w:r>
          </w:p>
        </w:tc>
      </w:tr>
      <w:bookmarkEnd w:id="0"/>
    </w:tbl>
    <w:p w14:paraId="4431BD7F" w14:textId="48AA9434" w:rsidR="00BC77BF" w:rsidRDefault="00BC77BF" w:rsidP="001A0669">
      <w:pPr>
        <w:jc w:val="left"/>
      </w:pPr>
    </w:p>
    <w:p w14:paraId="5304788A" w14:textId="77777777" w:rsidR="00B00DC6" w:rsidRDefault="00B00DC6" w:rsidP="001A0669">
      <w:pPr>
        <w:jc w:val="left"/>
      </w:pPr>
    </w:p>
    <w:p w14:paraId="12149879" w14:textId="6D912451" w:rsidR="00B00DC6" w:rsidRDefault="001A0669" w:rsidP="001A0669">
      <w:pPr>
        <w:jc w:val="left"/>
      </w:pPr>
      <w:r>
        <w:rPr>
          <w:rFonts w:hint="eastAsia"/>
        </w:rPr>
        <w:t>○条例案</w:t>
      </w:r>
    </w:p>
    <w:tbl>
      <w:tblPr>
        <w:tblW w:w="893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1"/>
        <w:gridCol w:w="2300"/>
        <w:gridCol w:w="5779"/>
      </w:tblGrid>
      <w:tr w:rsidR="00B00DC6" w:rsidRPr="001A0669" w14:paraId="37DD8537" w14:textId="77777777" w:rsidTr="00FD63BA">
        <w:trPr>
          <w:cantSplit/>
          <w:trHeight w:val="435"/>
        </w:trPr>
        <w:tc>
          <w:tcPr>
            <w:tcW w:w="851" w:type="dxa"/>
            <w:tcBorders>
              <w:bottom w:val="single" w:sz="12" w:space="0" w:color="auto"/>
            </w:tcBorders>
            <w:vAlign w:val="center"/>
          </w:tcPr>
          <w:p w14:paraId="2F07EF50" w14:textId="77777777" w:rsidR="00B00DC6" w:rsidRPr="001A0669" w:rsidRDefault="00B00DC6" w:rsidP="00FD63BA">
            <w:pPr>
              <w:snapToGrid w:val="0"/>
              <w:jc w:val="center"/>
              <w:rPr>
                <w:sz w:val="22"/>
              </w:rPr>
            </w:pPr>
            <w:r w:rsidRPr="001A0669">
              <w:rPr>
                <w:sz w:val="21"/>
              </w:rPr>
              <w:br w:type="page"/>
            </w:r>
            <w:r w:rsidRPr="001A0669">
              <w:rPr>
                <w:sz w:val="21"/>
              </w:rPr>
              <w:br w:type="page"/>
            </w:r>
            <w:r w:rsidRPr="001A0669">
              <w:rPr>
                <w:sz w:val="21"/>
              </w:rPr>
              <w:br w:type="page"/>
            </w:r>
            <w:r w:rsidRPr="001A0669">
              <w:rPr>
                <w:sz w:val="21"/>
              </w:rPr>
              <w:br w:type="page"/>
            </w:r>
            <w:r w:rsidRPr="001A0669">
              <w:rPr>
                <w:rFonts w:hint="eastAsia"/>
                <w:sz w:val="22"/>
              </w:rPr>
              <w:t>番号</w:t>
            </w:r>
          </w:p>
        </w:tc>
        <w:tc>
          <w:tcPr>
            <w:tcW w:w="2300" w:type="dxa"/>
            <w:tcBorders>
              <w:bottom w:val="single" w:sz="12" w:space="0" w:color="auto"/>
            </w:tcBorders>
            <w:vAlign w:val="center"/>
          </w:tcPr>
          <w:p w14:paraId="5E74AD59" w14:textId="77777777" w:rsidR="00B00DC6" w:rsidRPr="001A0669" w:rsidRDefault="00B00DC6" w:rsidP="00FD63BA">
            <w:pPr>
              <w:snapToGrid w:val="0"/>
              <w:jc w:val="center"/>
              <w:rPr>
                <w:sz w:val="22"/>
              </w:rPr>
            </w:pPr>
            <w:r w:rsidRPr="001A0669">
              <w:rPr>
                <w:rFonts w:hint="eastAsia"/>
                <w:sz w:val="22"/>
              </w:rPr>
              <w:t>件　　　　　名</w:t>
            </w:r>
          </w:p>
        </w:tc>
        <w:tc>
          <w:tcPr>
            <w:tcW w:w="5779" w:type="dxa"/>
            <w:tcBorders>
              <w:bottom w:val="single" w:sz="12" w:space="0" w:color="auto"/>
            </w:tcBorders>
            <w:vAlign w:val="center"/>
          </w:tcPr>
          <w:p w14:paraId="3D2B0EA4" w14:textId="77777777" w:rsidR="00B00DC6" w:rsidRPr="000536C9" w:rsidRDefault="00B00DC6" w:rsidP="00FD63BA">
            <w:pPr>
              <w:snapToGrid w:val="0"/>
              <w:jc w:val="center"/>
              <w:rPr>
                <w:sz w:val="22"/>
              </w:rPr>
            </w:pPr>
            <w:r w:rsidRPr="001A0669">
              <w:rPr>
                <w:rFonts w:hint="eastAsia"/>
                <w:sz w:val="22"/>
              </w:rPr>
              <w:t>概　　　　　　　　　　要</w:t>
            </w:r>
          </w:p>
        </w:tc>
      </w:tr>
      <w:tr w:rsidR="00B00DC6" w:rsidRPr="001A0669" w14:paraId="20A2A87E" w14:textId="77777777" w:rsidTr="00FD63BA">
        <w:trPr>
          <w:cantSplit/>
          <w:trHeight w:val="435"/>
        </w:trPr>
        <w:tc>
          <w:tcPr>
            <w:tcW w:w="851" w:type="dxa"/>
            <w:shd w:val="clear" w:color="auto" w:fill="auto"/>
          </w:tcPr>
          <w:p w14:paraId="484C6E70" w14:textId="77777777" w:rsidR="00B00DC6" w:rsidRPr="004065FC" w:rsidRDefault="00B00DC6" w:rsidP="00FD63BA">
            <w:pPr>
              <w:ind w:leftChars="-47" w:left="-14" w:rightChars="-47" w:right="-113" w:hangingChars="47" w:hanging="99"/>
              <w:jc w:val="center"/>
              <w:rPr>
                <w:noProof/>
                <w:sz w:val="21"/>
                <w:szCs w:val="21"/>
              </w:rPr>
            </w:pPr>
            <w:r>
              <w:rPr>
                <w:rFonts w:hint="eastAsia"/>
                <w:noProof/>
                <w:sz w:val="21"/>
                <w:szCs w:val="21"/>
              </w:rPr>
              <w:t>１</w:t>
            </w:r>
          </w:p>
        </w:tc>
        <w:tc>
          <w:tcPr>
            <w:tcW w:w="2300" w:type="dxa"/>
            <w:shd w:val="clear" w:color="auto" w:fill="auto"/>
          </w:tcPr>
          <w:p w14:paraId="3735A843" w14:textId="77777777" w:rsidR="00B00DC6" w:rsidRPr="00E80BE6" w:rsidRDefault="00B00DC6" w:rsidP="00FD63BA">
            <w:pPr>
              <w:rPr>
                <w:sz w:val="21"/>
              </w:rPr>
            </w:pPr>
            <w:r w:rsidRPr="00E80BE6">
              <w:rPr>
                <w:rFonts w:hint="eastAsia"/>
                <w:sz w:val="21"/>
              </w:rPr>
              <w:t>職員の定年の引上げ等に伴う関係条例の整備に関する条例制定の件</w:t>
            </w:r>
          </w:p>
        </w:tc>
        <w:tc>
          <w:tcPr>
            <w:tcW w:w="5779" w:type="dxa"/>
            <w:tcBorders>
              <w:top w:val="single" w:sz="12" w:space="0" w:color="auto"/>
              <w:bottom w:val="single" w:sz="12" w:space="0" w:color="auto"/>
            </w:tcBorders>
            <w:shd w:val="clear" w:color="auto" w:fill="auto"/>
          </w:tcPr>
          <w:p w14:paraId="2084E98F" w14:textId="77777777" w:rsidR="00B00DC6" w:rsidRPr="00E80BE6" w:rsidRDefault="00B00DC6" w:rsidP="004274FD">
            <w:pPr>
              <w:ind w:firstLineChars="100" w:firstLine="210"/>
              <w:rPr>
                <w:noProof/>
                <w:sz w:val="21"/>
              </w:rPr>
            </w:pPr>
            <w:bookmarkStart w:id="1" w:name="_GoBack"/>
            <w:bookmarkEnd w:id="1"/>
            <w:r w:rsidRPr="00E80BE6">
              <w:rPr>
                <w:rFonts w:hint="eastAsia"/>
                <w:noProof/>
                <w:sz w:val="21"/>
              </w:rPr>
              <w:t>国家公務員について、定年が６５歳まで引き上げられること等を踏まえ、条例において同趣旨の改正等を行う。</w:t>
            </w:r>
          </w:p>
          <w:p w14:paraId="2600D6E9" w14:textId="77777777" w:rsidR="00B00DC6" w:rsidRPr="00E80BE6" w:rsidRDefault="00B00DC6" w:rsidP="00FD63BA">
            <w:pPr>
              <w:autoSpaceDN w:val="0"/>
              <w:ind w:firstLineChars="100" w:firstLine="210"/>
              <w:rPr>
                <w:rFonts w:ascii="ＭＳ 明朝" w:hAnsi="ＭＳ 明朝"/>
                <w:sz w:val="21"/>
              </w:rPr>
            </w:pPr>
            <w:r w:rsidRPr="00E80BE6">
              <w:rPr>
                <w:rFonts w:ascii="ＭＳ 明朝" w:hAnsi="ＭＳ 明朝" w:hint="eastAsia"/>
                <w:sz w:val="21"/>
              </w:rPr>
              <w:t>〔主な改正内容〕</w:t>
            </w:r>
          </w:p>
          <w:p w14:paraId="094178D2" w14:textId="77777777" w:rsidR="00B00DC6" w:rsidRPr="00E80BE6" w:rsidRDefault="00B00DC6" w:rsidP="00FD63BA">
            <w:pPr>
              <w:autoSpaceDN w:val="0"/>
              <w:ind w:left="420" w:hangingChars="200" w:hanging="420"/>
              <w:rPr>
                <w:rFonts w:ascii="ＭＳ 明朝" w:hAnsi="ＭＳ 明朝"/>
                <w:sz w:val="21"/>
              </w:rPr>
            </w:pPr>
            <w:r w:rsidRPr="00E80BE6">
              <w:rPr>
                <w:rFonts w:ascii="ＭＳ 明朝" w:hAnsi="ＭＳ 明朝" w:hint="eastAsia"/>
                <w:sz w:val="21"/>
              </w:rPr>
              <w:t xml:space="preserve">　・職員の定年を６５歳まで、令和５年度から２年に１歳ずつ段階的に引き上げる。</w:t>
            </w:r>
          </w:p>
          <w:p w14:paraId="2FC4D167" w14:textId="77777777" w:rsidR="00B00DC6" w:rsidRPr="00E80BE6" w:rsidRDefault="00B00DC6" w:rsidP="00FD63BA">
            <w:pPr>
              <w:autoSpaceDN w:val="0"/>
              <w:ind w:left="420" w:hangingChars="200" w:hanging="420"/>
              <w:rPr>
                <w:rFonts w:ascii="ＭＳ 明朝" w:hAnsi="ＭＳ 明朝"/>
                <w:sz w:val="21"/>
              </w:rPr>
            </w:pPr>
            <w:r w:rsidRPr="00E80BE6">
              <w:rPr>
                <w:rFonts w:ascii="ＭＳ 明朝" w:hAnsi="ＭＳ 明朝" w:hint="eastAsia"/>
                <w:sz w:val="21"/>
              </w:rPr>
              <w:t xml:space="preserve">　・管理監督職勤務上限年齢を原則６０歳とする。</w:t>
            </w:r>
          </w:p>
          <w:p w14:paraId="2CA23057" w14:textId="77777777" w:rsidR="00B00DC6" w:rsidRPr="00E80BE6" w:rsidRDefault="00B00DC6" w:rsidP="00FD63BA">
            <w:pPr>
              <w:autoSpaceDN w:val="0"/>
              <w:ind w:left="420" w:hangingChars="200" w:hanging="420"/>
              <w:rPr>
                <w:rFonts w:ascii="ＭＳ 明朝" w:hAnsi="ＭＳ 明朝"/>
                <w:sz w:val="21"/>
              </w:rPr>
            </w:pPr>
            <w:r w:rsidRPr="00E80BE6">
              <w:rPr>
                <w:rFonts w:ascii="ＭＳ 明朝" w:hAnsi="ＭＳ 明朝" w:hint="eastAsia"/>
                <w:sz w:val="21"/>
              </w:rPr>
              <w:t xml:space="preserve">　・６０歳に達した日以後、定年前に退職した職員について、短時間勤務の職に採用することができることとする。</w:t>
            </w:r>
          </w:p>
          <w:p w14:paraId="65253DDD" w14:textId="77777777" w:rsidR="00B00DC6" w:rsidRPr="00E80BE6" w:rsidRDefault="00B00DC6" w:rsidP="00FD63BA">
            <w:pPr>
              <w:autoSpaceDN w:val="0"/>
              <w:ind w:left="420" w:hangingChars="200" w:hanging="420"/>
              <w:rPr>
                <w:rFonts w:ascii="ＭＳ 明朝" w:hAnsi="ＭＳ 明朝"/>
                <w:sz w:val="21"/>
              </w:rPr>
            </w:pPr>
            <w:r w:rsidRPr="00E80BE6">
              <w:rPr>
                <w:rFonts w:ascii="ＭＳ 明朝" w:hAnsi="ＭＳ 明朝" w:hint="eastAsia"/>
                <w:sz w:val="21"/>
              </w:rPr>
              <w:t xml:space="preserve">　・６０歳に達した職員の給与水準を定める。</w:t>
            </w:r>
          </w:p>
          <w:p w14:paraId="60C33354" w14:textId="77777777" w:rsidR="00B00DC6" w:rsidRPr="00E80BE6" w:rsidRDefault="00B00DC6" w:rsidP="00FD63BA">
            <w:pPr>
              <w:autoSpaceDN w:val="0"/>
              <w:ind w:left="420" w:hangingChars="200" w:hanging="420"/>
              <w:rPr>
                <w:rFonts w:ascii="ＭＳ 明朝" w:hAnsi="ＭＳ 明朝"/>
                <w:sz w:val="21"/>
              </w:rPr>
            </w:pPr>
            <w:r w:rsidRPr="00E80BE6">
              <w:rPr>
                <w:rFonts w:ascii="ＭＳ 明朝" w:hAnsi="ＭＳ 明朝" w:hint="eastAsia"/>
                <w:sz w:val="21"/>
              </w:rPr>
              <w:t xml:space="preserve">　・定年退職者の再任用制度を段階的に廃止する。</w:t>
            </w:r>
          </w:p>
          <w:p w14:paraId="3B951ADF" w14:textId="77777777" w:rsidR="00B00DC6" w:rsidRPr="00E80BE6" w:rsidRDefault="00B00DC6" w:rsidP="00FD63BA">
            <w:pPr>
              <w:autoSpaceDN w:val="0"/>
              <w:ind w:left="420" w:hangingChars="200" w:hanging="420"/>
              <w:rPr>
                <w:rFonts w:ascii="ＭＳ 明朝" w:hAnsi="ＭＳ 明朝"/>
                <w:sz w:val="21"/>
              </w:rPr>
            </w:pPr>
            <w:r w:rsidRPr="00E80BE6">
              <w:rPr>
                <w:rFonts w:ascii="ＭＳ 明朝" w:hAnsi="ＭＳ 明朝" w:hint="eastAsia"/>
                <w:sz w:val="21"/>
              </w:rPr>
              <w:t xml:space="preserve">　　　　施行日：令和５年４月１日</w:t>
            </w:r>
          </w:p>
          <w:p w14:paraId="6234B26E" w14:textId="77777777" w:rsidR="00B00DC6" w:rsidRPr="00E80BE6" w:rsidRDefault="00B00DC6" w:rsidP="00FD63BA">
            <w:pPr>
              <w:ind w:firstLineChars="100" w:firstLine="210"/>
              <w:rPr>
                <w:rFonts w:ascii="ＭＳ 明朝" w:hAnsi="ＭＳ 明朝"/>
                <w:sz w:val="21"/>
                <w:szCs w:val="21"/>
              </w:rPr>
            </w:pPr>
            <w:r w:rsidRPr="00E80BE6">
              <w:rPr>
                <w:rFonts w:ascii="ＭＳ 明朝" w:hAnsi="ＭＳ 明朝" w:hint="eastAsia"/>
                <w:sz w:val="21"/>
                <w:szCs w:val="21"/>
              </w:rPr>
              <w:t>〔関係条例〕</w:t>
            </w:r>
          </w:p>
          <w:p w14:paraId="1AAE0280" w14:textId="77777777" w:rsidR="00B00DC6" w:rsidRPr="00E80BE6" w:rsidRDefault="00B00DC6" w:rsidP="00FD63BA">
            <w:pPr>
              <w:ind w:firstLineChars="100" w:firstLine="210"/>
              <w:rPr>
                <w:rFonts w:ascii="ＭＳ 明朝" w:hAnsi="ＭＳ 明朝"/>
                <w:sz w:val="21"/>
                <w:szCs w:val="21"/>
              </w:rPr>
            </w:pPr>
            <w:r w:rsidRPr="00E80BE6">
              <w:rPr>
                <w:rFonts w:ascii="ＭＳ 明朝" w:hAnsi="ＭＳ 明朝" w:hint="eastAsia"/>
                <w:sz w:val="21"/>
                <w:szCs w:val="21"/>
              </w:rPr>
              <w:t>・職員の定年等に関する条例ほか２２条例</w:t>
            </w:r>
          </w:p>
        </w:tc>
      </w:tr>
      <w:tr w:rsidR="00B00DC6" w:rsidRPr="001A0669" w14:paraId="28AA6927" w14:textId="77777777" w:rsidTr="00FD63BA">
        <w:trPr>
          <w:cantSplit/>
          <w:trHeight w:val="1421"/>
        </w:trPr>
        <w:tc>
          <w:tcPr>
            <w:tcW w:w="851" w:type="dxa"/>
            <w:shd w:val="clear" w:color="auto" w:fill="auto"/>
          </w:tcPr>
          <w:p w14:paraId="4702253A" w14:textId="32C67707" w:rsidR="00B00DC6" w:rsidRDefault="006F6F00" w:rsidP="00FD63BA">
            <w:pPr>
              <w:jc w:val="center"/>
              <w:rPr>
                <w:rFonts w:ascii="ＭＳ 明朝" w:hAnsi="ＭＳ 明朝"/>
                <w:noProof/>
                <w:sz w:val="21"/>
                <w:szCs w:val="21"/>
              </w:rPr>
            </w:pPr>
            <w:r>
              <w:rPr>
                <w:rFonts w:ascii="ＭＳ 明朝" w:hAnsi="ＭＳ 明朝" w:hint="eastAsia"/>
                <w:noProof/>
                <w:sz w:val="21"/>
                <w:szCs w:val="21"/>
              </w:rPr>
              <w:t>２</w:t>
            </w:r>
          </w:p>
        </w:tc>
        <w:tc>
          <w:tcPr>
            <w:tcW w:w="2300" w:type="dxa"/>
            <w:shd w:val="clear" w:color="auto" w:fill="auto"/>
          </w:tcPr>
          <w:p w14:paraId="385AFB03" w14:textId="77777777" w:rsidR="00B00DC6" w:rsidRPr="00E80BE6" w:rsidRDefault="00B00DC6" w:rsidP="00FD63BA">
            <w:pPr>
              <w:rPr>
                <w:rFonts w:ascii="ＭＳ 明朝" w:hAnsi="ＭＳ 明朝" w:cs="Arial"/>
                <w:color w:val="000000"/>
                <w:sz w:val="21"/>
                <w:szCs w:val="21"/>
              </w:rPr>
            </w:pPr>
            <w:r w:rsidRPr="00E80BE6">
              <w:rPr>
                <w:rFonts w:hint="eastAsia"/>
                <w:sz w:val="21"/>
                <w:szCs w:val="21"/>
              </w:rPr>
              <w:t>職員の退職手当に関する条例一部改正の件</w:t>
            </w:r>
          </w:p>
        </w:tc>
        <w:tc>
          <w:tcPr>
            <w:tcW w:w="5779" w:type="dxa"/>
            <w:shd w:val="clear" w:color="auto" w:fill="auto"/>
          </w:tcPr>
          <w:p w14:paraId="155C83E0" w14:textId="77777777" w:rsidR="00B00DC6" w:rsidRPr="00E80BE6" w:rsidRDefault="00B00DC6" w:rsidP="00FD63BA">
            <w:pPr>
              <w:ind w:firstLineChars="100" w:firstLine="210"/>
              <w:rPr>
                <w:sz w:val="21"/>
              </w:rPr>
            </w:pPr>
            <w:r w:rsidRPr="00E80BE6">
              <w:rPr>
                <w:rFonts w:hint="eastAsia"/>
                <w:sz w:val="21"/>
              </w:rPr>
              <w:t>国家公務員について、退職時に支給された退職手当と雇用保険法に基づく基本手当との差額分を退職手当として支給する場合において、退職の日後に事業を開始した職員が廃業したときの求職活動を支えるため、当該事業の実施期間を最大３年間支給期間に算入しないこととされたことを踏まえ、条例において同趣旨の改正を行う。</w:t>
            </w:r>
          </w:p>
          <w:p w14:paraId="193BDD6D" w14:textId="77777777" w:rsidR="00B00DC6" w:rsidRPr="00E80BE6" w:rsidRDefault="00B00DC6" w:rsidP="00FD63BA">
            <w:pPr>
              <w:autoSpaceDN w:val="0"/>
              <w:ind w:leftChars="200" w:left="480" w:firstLineChars="200" w:firstLine="420"/>
              <w:rPr>
                <w:rFonts w:ascii="ＭＳ 明朝" w:hAnsi="ＭＳ 明朝"/>
                <w:sz w:val="21"/>
              </w:rPr>
            </w:pPr>
            <w:r w:rsidRPr="00E80BE6">
              <w:rPr>
                <w:rFonts w:ascii="ＭＳ 明朝" w:hAnsi="ＭＳ 明朝" w:hint="eastAsia"/>
                <w:sz w:val="21"/>
              </w:rPr>
              <w:t>施行日：公布の日</w:t>
            </w:r>
          </w:p>
        </w:tc>
      </w:tr>
      <w:tr w:rsidR="00B00DC6" w:rsidRPr="001A0669" w14:paraId="63FAABAC" w14:textId="77777777" w:rsidTr="00FD63BA">
        <w:trPr>
          <w:cantSplit/>
          <w:trHeight w:val="1421"/>
        </w:trPr>
        <w:tc>
          <w:tcPr>
            <w:tcW w:w="851" w:type="dxa"/>
            <w:shd w:val="clear" w:color="auto" w:fill="auto"/>
          </w:tcPr>
          <w:p w14:paraId="2C90CCBE" w14:textId="2831BB13" w:rsidR="00B00DC6" w:rsidRDefault="006F6F00" w:rsidP="00FD63BA">
            <w:pPr>
              <w:jc w:val="center"/>
              <w:rPr>
                <w:rFonts w:ascii="ＭＳ 明朝" w:hAnsi="ＭＳ 明朝"/>
                <w:noProof/>
                <w:sz w:val="21"/>
                <w:szCs w:val="21"/>
              </w:rPr>
            </w:pPr>
            <w:r>
              <w:rPr>
                <w:rFonts w:ascii="ＭＳ 明朝" w:hAnsi="ＭＳ 明朝" w:hint="eastAsia"/>
                <w:noProof/>
                <w:sz w:val="21"/>
                <w:szCs w:val="21"/>
              </w:rPr>
              <w:lastRenderedPageBreak/>
              <w:t>３</w:t>
            </w:r>
          </w:p>
        </w:tc>
        <w:tc>
          <w:tcPr>
            <w:tcW w:w="2300" w:type="dxa"/>
            <w:shd w:val="clear" w:color="auto" w:fill="auto"/>
          </w:tcPr>
          <w:p w14:paraId="4A0B6B1E" w14:textId="77777777" w:rsidR="00B00DC6" w:rsidRPr="00E80BE6" w:rsidRDefault="00B00DC6" w:rsidP="00FD63BA">
            <w:pPr>
              <w:rPr>
                <w:rFonts w:ascii="ＭＳ 明朝" w:hAnsi="ＭＳ 明朝" w:cs="Arial"/>
                <w:color w:val="000000"/>
                <w:sz w:val="21"/>
                <w:szCs w:val="21"/>
              </w:rPr>
            </w:pPr>
            <w:r w:rsidRPr="00E80BE6">
              <w:rPr>
                <w:rFonts w:hint="eastAsia"/>
                <w:sz w:val="21"/>
                <w:szCs w:val="21"/>
              </w:rPr>
              <w:t>職員の育児休業等に関する条例一部改正の件</w:t>
            </w:r>
          </w:p>
        </w:tc>
        <w:tc>
          <w:tcPr>
            <w:tcW w:w="5779" w:type="dxa"/>
            <w:shd w:val="clear" w:color="auto" w:fill="auto"/>
          </w:tcPr>
          <w:p w14:paraId="33192C6D" w14:textId="77777777" w:rsidR="00B00DC6" w:rsidRPr="00E80BE6" w:rsidRDefault="00B00DC6" w:rsidP="00FD63BA">
            <w:pPr>
              <w:ind w:left="210" w:hangingChars="100" w:hanging="210"/>
              <w:rPr>
                <w:sz w:val="21"/>
              </w:rPr>
            </w:pPr>
            <w:r w:rsidRPr="00E80BE6">
              <w:rPr>
                <w:rFonts w:hint="eastAsia"/>
                <w:sz w:val="21"/>
              </w:rPr>
              <w:t>１　地方公務員の育児休業等に関する法律の改正により、同一の子について育児休業を２回取得することができることとされたことに伴い、職員が育児休業等計画書により申し出た場合に再度の育児休業を取得することができることとしている規定を削除する等の改正を行う。</w:t>
            </w:r>
          </w:p>
          <w:p w14:paraId="67CA12DC" w14:textId="77777777" w:rsidR="00B00DC6" w:rsidRPr="00E80BE6" w:rsidRDefault="00B00DC6" w:rsidP="00FD63BA">
            <w:pPr>
              <w:ind w:left="210" w:hangingChars="100" w:hanging="210"/>
              <w:rPr>
                <w:sz w:val="21"/>
              </w:rPr>
            </w:pPr>
            <w:r w:rsidRPr="00E80BE6">
              <w:rPr>
                <w:rFonts w:hint="eastAsia"/>
                <w:sz w:val="21"/>
              </w:rPr>
              <w:t>２　国家公務員について、非常勤職員が子の１歳に達する日以後の育児休業を取得する場合に夫婦交替での取得をより柔軟に行うことができることとされたこと等を踏まえ、条例において同趣旨の改正を行う。</w:t>
            </w:r>
          </w:p>
          <w:p w14:paraId="4E4263C7" w14:textId="77777777" w:rsidR="00B00DC6" w:rsidRPr="00B00CD3" w:rsidRDefault="00B00DC6" w:rsidP="00FD63BA">
            <w:pPr>
              <w:autoSpaceDN w:val="0"/>
              <w:rPr>
                <w:rFonts w:ascii="ＭＳ 明朝" w:hAnsi="ＭＳ 明朝"/>
                <w:sz w:val="21"/>
              </w:rPr>
            </w:pPr>
            <w:r w:rsidRPr="00E80BE6">
              <w:rPr>
                <w:rFonts w:hint="eastAsia"/>
                <w:sz w:val="21"/>
              </w:rPr>
              <w:t xml:space="preserve">　　　　</w:t>
            </w:r>
            <w:r w:rsidRPr="00E80BE6">
              <w:rPr>
                <w:rFonts w:ascii="ＭＳ 明朝" w:hAnsi="ＭＳ 明朝" w:hint="eastAsia"/>
                <w:sz w:val="21"/>
              </w:rPr>
              <w:t>施行日：令和４年１０月１日</w:t>
            </w:r>
          </w:p>
        </w:tc>
      </w:tr>
      <w:tr w:rsidR="00B00DC6" w:rsidRPr="001A0669" w14:paraId="3BC0282D" w14:textId="77777777" w:rsidTr="00FD63BA">
        <w:trPr>
          <w:cantSplit/>
          <w:trHeight w:val="1421"/>
        </w:trPr>
        <w:tc>
          <w:tcPr>
            <w:tcW w:w="851" w:type="dxa"/>
            <w:shd w:val="clear" w:color="auto" w:fill="auto"/>
          </w:tcPr>
          <w:p w14:paraId="2298D248" w14:textId="64ECFFAA" w:rsidR="00B00DC6" w:rsidRDefault="006F6F00" w:rsidP="00FD63BA">
            <w:pPr>
              <w:jc w:val="center"/>
              <w:rPr>
                <w:rFonts w:ascii="ＭＳ 明朝" w:hAnsi="ＭＳ 明朝"/>
                <w:noProof/>
                <w:sz w:val="21"/>
                <w:szCs w:val="21"/>
              </w:rPr>
            </w:pPr>
            <w:r>
              <w:rPr>
                <w:rFonts w:ascii="ＭＳ 明朝" w:hAnsi="ＭＳ 明朝" w:hint="eastAsia"/>
                <w:noProof/>
                <w:sz w:val="21"/>
                <w:szCs w:val="21"/>
              </w:rPr>
              <w:t>４</w:t>
            </w:r>
          </w:p>
        </w:tc>
        <w:tc>
          <w:tcPr>
            <w:tcW w:w="2300" w:type="dxa"/>
            <w:shd w:val="clear" w:color="auto" w:fill="auto"/>
          </w:tcPr>
          <w:p w14:paraId="5BC7E41A" w14:textId="77777777" w:rsidR="00B00DC6" w:rsidRPr="00E80BE6" w:rsidRDefault="00B00DC6" w:rsidP="00FD63BA">
            <w:pPr>
              <w:rPr>
                <w:sz w:val="21"/>
              </w:rPr>
            </w:pPr>
            <w:r w:rsidRPr="00E80BE6">
              <w:rPr>
                <w:rFonts w:hint="eastAsia"/>
                <w:sz w:val="21"/>
              </w:rPr>
              <w:t>大阪府教育行政事務手数料条例一部改正の件</w:t>
            </w:r>
          </w:p>
          <w:p w14:paraId="1E86B262" w14:textId="77777777" w:rsidR="00B00DC6" w:rsidRPr="00E80BE6" w:rsidRDefault="00B00DC6" w:rsidP="00FD63BA">
            <w:pPr>
              <w:rPr>
                <w:rFonts w:ascii="ＭＳ 明朝" w:hAnsi="ＭＳ 明朝" w:cs="Arial"/>
                <w:color w:val="000000"/>
                <w:sz w:val="21"/>
                <w:szCs w:val="21"/>
              </w:rPr>
            </w:pPr>
          </w:p>
        </w:tc>
        <w:tc>
          <w:tcPr>
            <w:tcW w:w="5779" w:type="dxa"/>
            <w:shd w:val="clear" w:color="auto" w:fill="auto"/>
          </w:tcPr>
          <w:p w14:paraId="30761386" w14:textId="77777777" w:rsidR="00B00DC6" w:rsidRPr="00E80BE6" w:rsidRDefault="00B00DC6" w:rsidP="00FD63BA">
            <w:pPr>
              <w:ind w:firstLineChars="100" w:firstLine="210"/>
              <w:rPr>
                <w:sz w:val="21"/>
              </w:rPr>
            </w:pPr>
            <w:r w:rsidRPr="00E80BE6">
              <w:rPr>
                <w:rFonts w:hint="eastAsia"/>
                <w:sz w:val="21"/>
              </w:rPr>
              <w:t>教育職員免許法の改正により、教員免許更新の制度が廃止されたことから、当該更新の申請等に係る手数料を廃止する。</w:t>
            </w:r>
          </w:p>
          <w:p w14:paraId="3CD7BED1" w14:textId="77777777" w:rsidR="00B00DC6" w:rsidRPr="00E80BE6" w:rsidRDefault="00B00DC6" w:rsidP="00FD63BA">
            <w:pPr>
              <w:autoSpaceDN w:val="0"/>
              <w:ind w:leftChars="200" w:left="480" w:firstLineChars="200" w:firstLine="420"/>
              <w:rPr>
                <w:rFonts w:ascii="ＭＳ 明朝" w:hAnsi="ＭＳ 明朝"/>
                <w:sz w:val="21"/>
              </w:rPr>
            </w:pPr>
            <w:r w:rsidRPr="00E80BE6">
              <w:rPr>
                <w:rFonts w:ascii="ＭＳ 明朝" w:hAnsi="ＭＳ 明朝" w:hint="eastAsia"/>
                <w:sz w:val="21"/>
              </w:rPr>
              <w:t>施行日：公布の日</w:t>
            </w:r>
          </w:p>
        </w:tc>
      </w:tr>
    </w:tbl>
    <w:p w14:paraId="742B1DA0" w14:textId="77777777" w:rsidR="00B00DC6" w:rsidRPr="00B00DC6" w:rsidRDefault="00B00DC6" w:rsidP="001A0669">
      <w:pPr>
        <w:jc w:val="left"/>
        <w:rPr>
          <w:sz w:val="21"/>
          <w:szCs w:val="21"/>
        </w:rPr>
      </w:pPr>
    </w:p>
    <w:sectPr w:rsidR="00B00DC6" w:rsidRPr="00B00DC6" w:rsidSect="00B00DC6">
      <w:footerReference w:type="default" r:id="rId7"/>
      <w:footerReference w:type="first" r:id="rId8"/>
      <w:pgSz w:w="11906" w:h="16838"/>
      <w:pgMar w:top="1985" w:right="1701" w:bottom="1701" w:left="1701" w:header="851" w:footer="992" w:gutter="0"/>
      <w:pgNumType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D4383" w14:textId="77777777" w:rsidR="0028143C" w:rsidRDefault="0028143C" w:rsidP="00C95D9E">
      <w:r>
        <w:separator/>
      </w:r>
    </w:p>
  </w:endnote>
  <w:endnote w:type="continuationSeparator" w:id="0">
    <w:p w14:paraId="7AE463D8" w14:textId="77777777" w:rsidR="0028143C" w:rsidRDefault="0028143C"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61249"/>
      <w:docPartObj>
        <w:docPartGallery w:val="Page Numbers (Bottom of Page)"/>
        <w:docPartUnique/>
      </w:docPartObj>
    </w:sdtPr>
    <w:sdtEndPr/>
    <w:sdtContent>
      <w:p w14:paraId="3039F272" w14:textId="226D1A8B" w:rsidR="00B00DC6" w:rsidRDefault="00B00DC6">
        <w:pPr>
          <w:pStyle w:val="a7"/>
          <w:jc w:val="center"/>
        </w:pPr>
        <w:r>
          <w:rPr>
            <w:rFonts w:hint="eastAsia"/>
          </w:rPr>
          <w:t>１－４</w:t>
        </w:r>
      </w:p>
    </w:sdtContent>
  </w:sdt>
  <w:p w14:paraId="2F5A4F16" w14:textId="77777777" w:rsidR="0010780D" w:rsidRPr="0010780D" w:rsidRDefault="0010780D" w:rsidP="0010780D">
    <w:pPr>
      <w:pStyle w:val="a7"/>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144219"/>
      <w:docPartObj>
        <w:docPartGallery w:val="Page Numbers (Bottom of Page)"/>
        <w:docPartUnique/>
      </w:docPartObj>
    </w:sdtPr>
    <w:sdtEndPr/>
    <w:sdtContent>
      <w:p w14:paraId="5A5B5E26" w14:textId="6979B68C" w:rsidR="00B00DC6" w:rsidRDefault="00B00DC6">
        <w:pPr>
          <w:pStyle w:val="a7"/>
          <w:jc w:val="center"/>
        </w:pPr>
        <w:r>
          <w:rPr>
            <w:rFonts w:hint="eastAsia"/>
          </w:rPr>
          <w:t>１－３</w:t>
        </w:r>
      </w:p>
    </w:sdtContent>
  </w:sdt>
  <w:p w14:paraId="13260B22" w14:textId="77777777" w:rsidR="00BC77BF" w:rsidRDefault="00BC7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7DC6A" w14:textId="77777777" w:rsidR="0028143C" w:rsidRDefault="0028143C" w:rsidP="00C95D9E">
      <w:r>
        <w:separator/>
      </w:r>
    </w:p>
  </w:footnote>
  <w:footnote w:type="continuationSeparator" w:id="0">
    <w:p w14:paraId="2BA0C94C" w14:textId="77777777" w:rsidR="0028143C" w:rsidRDefault="0028143C" w:rsidP="00C9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BA"/>
    <w:rsid w:val="000536C9"/>
    <w:rsid w:val="0010780D"/>
    <w:rsid w:val="001920D0"/>
    <w:rsid w:val="001A0669"/>
    <w:rsid w:val="001D36A1"/>
    <w:rsid w:val="00206F35"/>
    <w:rsid w:val="002345E9"/>
    <w:rsid w:val="00265242"/>
    <w:rsid w:val="00273E90"/>
    <w:rsid w:val="0028143C"/>
    <w:rsid w:val="002D0BD0"/>
    <w:rsid w:val="00313D1D"/>
    <w:rsid w:val="00375103"/>
    <w:rsid w:val="003868C9"/>
    <w:rsid w:val="004065FC"/>
    <w:rsid w:val="004274FD"/>
    <w:rsid w:val="004D3A1F"/>
    <w:rsid w:val="005629A3"/>
    <w:rsid w:val="006F6F00"/>
    <w:rsid w:val="007B44C7"/>
    <w:rsid w:val="007F33BB"/>
    <w:rsid w:val="00907ABA"/>
    <w:rsid w:val="00921802"/>
    <w:rsid w:val="00922479"/>
    <w:rsid w:val="00A87D81"/>
    <w:rsid w:val="00AE4979"/>
    <w:rsid w:val="00B00CD3"/>
    <w:rsid w:val="00B00DC6"/>
    <w:rsid w:val="00B91958"/>
    <w:rsid w:val="00BC77BF"/>
    <w:rsid w:val="00C11CB8"/>
    <w:rsid w:val="00C135E8"/>
    <w:rsid w:val="00C95D9E"/>
    <w:rsid w:val="00E0646C"/>
    <w:rsid w:val="00E32A59"/>
    <w:rsid w:val="00E80BE6"/>
    <w:rsid w:val="00E850EC"/>
    <w:rsid w:val="00EE48A8"/>
    <w:rsid w:val="00F11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B6D5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 w:type="paragraph" w:styleId="a9">
    <w:name w:val="Balloon Text"/>
    <w:basedOn w:val="a"/>
    <w:link w:val="aa"/>
    <w:uiPriority w:val="99"/>
    <w:semiHidden/>
    <w:unhideWhenUsed/>
    <w:rsid w:val="003751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1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EF5AE-8EFA-4FDC-9E3B-B8275BDA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2022-04-28T07:33:00Z</dcterms:created>
  <dcterms:modified xsi:type="dcterms:W3CDTF">2022-09-21T02:01:00Z</dcterms:modified>
</cp:coreProperties>
</file>