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B63" w:rsidRPr="00E41BCF" w:rsidRDefault="00E41BCF" w:rsidP="00E41BCF">
      <w:pPr>
        <w:jc w:val="center"/>
        <w:rPr>
          <w:rFonts w:asciiTheme="minorEastAsia" w:hAnsiTheme="minorEastAsia"/>
          <w:sz w:val="28"/>
        </w:rPr>
      </w:pPr>
      <w:r w:rsidRPr="00E41BCF">
        <w:rPr>
          <w:rFonts w:asciiTheme="minorEastAsia" w:hAnsiTheme="minorEastAsia" w:hint="eastAsia"/>
          <w:sz w:val="28"/>
        </w:rPr>
        <w:t>正　誤　表</w:t>
      </w:r>
    </w:p>
    <w:tbl>
      <w:tblPr>
        <w:tblStyle w:val="a3"/>
        <w:tblW w:w="10207" w:type="dxa"/>
        <w:tblInd w:w="-998" w:type="dxa"/>
        <w:tblLook w:val="04A0" w:firstRow="1" w:lastRow="0" w:firstColumn="1" w:lastColumn="0" w:noHBand="0" w:noVBand="1"/>
      </w:tblPr>
      <w:tblGrid>
        <w:gridCol w:w="1277"/>
        <w:gridCol w:w="2126"/>
        <w:gridCol w:w="3119"/>
        <w:gridCol w:w="3685"/>
      </w:tblGrid>
      <w:tr w:rsidR="00074DB0" w:rsidRPr="00E41BCF" w:rsidTr="00074DB0">
        <w:tc>
          <w:tcPr>
            <w:tcW w:w="3403" w:type="dxa"/>
            <w:gridSpan w:val="2"/>
          </w:tcPr>
          <w:p w:rsidR="00074DB0" w:rsidRPr="00E41BCF" w:rsidRDefault="00074DB0" w:rsidP="00E41BCF">
            <w:pPr>
              <w:jc w:val="center"/>
              <w:rPr>
                <w:rFonts w:asciiTheme="minorEastAsia" w:hAnsiTheme="minorEastAsia"/>
                <w:sz w:val="18"/>
              </w:rPr>
            </w:pPr>
            <w:r>
              <w:rPr>
                <w:rFonts w:asciiTheme="minorEastAsia" w:hAnsiTheme="minorEastAsia" w:hint="eastAsia"/>
                <w:sz w:val="18"/>
              </w:rPr>
              <w:t>箇所</w:t>
            </w:r>
          </w:p>
        </w:tc>
        <w:tc>
          <w:tcPr>
            <w:tcW w:w="3119" w:type="dxa"/>
          </w:tcPr>
          <w:p w:rsidR="00074DB0" w:rsidRPr="00E41BCF" w:rsidRDefault="00074DB0" w:rsidP="00E41BCF">
            <w:pPr>
              <w:jc w:val="center"/>
              <w:rPr>
                <w:rFonts w:asciiTheme="minorEastAsia" w:hAnsiTheme="minorEastAsia"/>
                <w:sz w:val="18"/>
              </w:rPr>
            </w:pPr>
            <w:r w:rsidRPr="00E41BCF">
              <w:rPr>
                <w:rFonts w:asciiTheme="minorEastAsia" w:hAnsiTheme="minorEastAsia" w:hint="eastAsia"/>
                <w:sz w:val="18"/>
              </w:rPr>
              <w:t>誤</w:t>
            </w:r>
          </w:p>
        </w:tc>
        <w:tc>
          <w:tcPr>
            <w:tcW w:w="3685" w:type="dxa"/>
          </w:tcPr>
          <w:p w:rsidR="00074DB0" w:rsidRPr="00E41BCF" w:rsidRDefault="00074DB0" w:rsidP="00E41BCF">
            <w:pPr>
              <w:jc w:val="center"/>
              <w:rPr>
                <w:rFonts w:asciiTheme="minorEastAsia" w:hAnsiTheme="minorEastAsia"/>
                <w:sz w:val="18"/>
              </w:rPr>
            </w:pPr>
            <w:r w:rsidRPr="00E41BCF">
              <w:rPr>
                <w:rFonts w:asciiTheme="minorEastAsia" w:hAnsiTheme="minorEastAsia" w:hint="eastAsia"/>
                <w:sz w:val="18"/>
              </w:rPr>
              <w:t>正</w:t>
            </w:r>
          </w:p>
        </w:tc>
      </w:tr>
      <w:tr w:rsidR="00E41BCF" w:rsidRPr="00E41BCF" w:rsidTr="00074DB0">
        <w:tc>
          <w:tcPr>
            <w:tcW w:w="1277" w:type="dxa"/>
            <w:tcBorders>
              <w:right w:val="dotted" w:sz="4" w:space="0" w:color="auto"/>
            </w:tcBorders>
            <w:vAlign w:val="center"/>
          </w:tcPr>
          <w:p w:rsidR="00E41BCF" w:rsidRPr="00E41BCF" w:rsidRDefault="00E41BCF" w:rsidP="00E41BCF">
            <w:pPr>
              <w:jc w:val="center"/>
              <w:rPr>
                <w:rFonts w:asciiTheme="minorEastAsia" w:hAnsiTheme="minorEastAsia"/>
                <w:sz w:val="18"/>
              </w:rPr>
            </w:pPr>
            <w:r w:rsidRPr="00E41BCF">
              <w:rPr>
                <w:rFonts w:asciiTheme="minorEastAsia" w:hAnsiTheme="minorEastAsia" w:hint="eastAsia"/>
                <w:sz w:val="18"/>
              </w:rPr>
              <w:t>2-121</w:t>
            </w:r>
            <w:r w:rsidR="00074DB0">
              <w:rPr>
                <w:rFonts w:asciiTheme="minorEastAsia" w:hAnsiTheme="minorEastAsia" w:hint="eastAsia"/>
                <w:sz w:val="18"/>
              </w:rPr>
              <w:t>ページ</w:t>
            </w:r>
          </w:p>
          <w:p w:rsidR="00E41BCF" w:rsidRPr="00E41BCF" w:rsidRDefault="00E41BCF" w:rsidP="00E41BCF">
            <w:pPr>
              <w:jc w:val="center"/>
              <w:rPr>
                <w:rFonts w:asciiTheme="minorEastAsia" w:hAnsiTheme="minorEastAsia"/>
                <w:sz w:val="18"/>
              </w:rPr>
            </w:pPr>
            <w:r w:rsidRPr="00E41BCF">
              <w:rPr>
                <w:rFonts w:asciiTheme="minorEastAsia" w:hAnsiTheme="minorEastAsia" w:hint="eastAsia"/>
                <w:sz w:val="18"/>
              </w:rPr>
              <w:t>表2-2.88</w:t>
            </w:r>
          </w:p>
        </w:tc>
        <w:tc>
          <w:tcPr>
            <w:tcW w:w="2126" w:type="dxa"/>
            <w:tcBorders>
              <w:left w:val="dotted" w:sz="4" w:space="0" w:color="auto"/>
            </w:tcBorders>
            <w:vAlign w:val="center"/>
          </w:tcPr>
          <w:p w:rsidR="00E41BCF" w:rsidRPr="00E41BCF" w:rsidRDefault="00E41BCF" w:rsidP="00074DB0">
            <w:pPr>
              <w:rPr>
                <w:rFonts w:asciiTheme="minorEastAsia" w:hAnsiTheme="minorEastAsia"/>
                <w:sz w:val="18"/>
              </w:rPr>
            </w:pPr>
            <w:r>
              <w:rPr>
                <w:rFonts w:asciiTheme="minorEastAsia" w:hAnsiTheme="minorEastAsia" w:hint="eastAsia"/>
                <w:sz w:val="18"/>
              </w:rPr>
              <w:t>「上記に掲げる以外の物質」の規制基準</w:t>
            </w:r>
          </w:p>
        </w:tc>
        <w:tc>
          <w:tcPr>
            <w:tcW w:w="3119" w:type="dxa"/>
          </w:tcPr>
          <w:p w:rsidR="00E41BCF" w:rsidRPr="00E41BCF" w:rsidRDefault="00E41BCF" w:rsidP="00E41BCF">
            <w:pPr>
              <w:jc w:val="center"/>
              <w:rPr>
                <w:rFonts w:asciiTheme="minorEastAsia" w:hAnsiTheme="minorEastAsia"/>
                <w:sz w:val="18"/>
              </w:rPr>
            </w:pPr>
            <w:r w:rsidRPr="00E41BCF">
              <w:rPr>
                <w:rFonts w:asciiTheme="minorEastAsia" w:hAnsiTheme="minorEastAsia"/>
                <w:sz w:val="18"/>
              </w:rPr>
              <w:fldChar w:fldCharType="begin"/>
            </w:r>
            <w:r w:rsidRPr="00E41BCF">
              <w:rPr>
                <w:rFonts w:asciiTheme="minorEastAsia" w:hAnsiTheme="minorEastAsia"/>
                <w:sz w:val="18"/>
              </w:rPr>
              <w:instrText xml:space="preserve"> eq \f((K/S),Q) </w:instrText>
            </w:r>
            <w:r w:rsidRPr="00E41BCF">
              <w:rPr>
                <w:rFonts w:asciiTheme="minorEastAsia" w:hAnsiTheme="minorEastAsia"/>
                <w:sz w:val="18"/>
              </w:rPr>
              <w:fldChar w:fldCharType="end"/>
            </w:r>
          </w:p>
        </w:tc>
        <w:tc>
          <w:tcPr>
            <w:tcW w:w="3685" w:type="dxa"/>
          </w:tcPr>
          <w:p w:rsidR="00E41BCF" w:rsidRPr="00E41BCF" w:rsidRDefault="00E41BCF" w:rsidP="00E41BCF">
            <w:pPr>
              <w:jc w:val="center"/>
              <w:rPr>
                <w:rFonts w:asciiTheme="minorEastAsia" w:hAnsiTheme="minorEastAsia"/>
                <w:sz w:val="18"/>
              </w:rPr>
            </w:pPr>
            <w:r w:rsidRPr="00E41BCF">
              <w:rPr>
                <w:rFonts w:asciiTheme="minorEastAsia" w:hAnsiTheme="minorEastAsia"/>
                <w:sz w:val="18"/>
              </w:rPr>
              <w:fldChar w:fldCharType="begin"/>
            </w:r>
            <w:r w:rsidRPr="00E41BCF">
              <w:rPr>
                <w:rFonts w:asciiTheme="minorEastAsia" w:hAnsiTheme="minorEastAsia"/>
                <w:sz w:val="18"/>
              </w:rPr>
              <w:instrText xml:space="preserve"> eq \f((K</w:instrText>
            </w:r>
            <w:r w:rsidRPr="00E41BCF">
              <w:rPr>
                <w:rFonts w:asciiTheme="minorEastAsia" w:hAnsiTheme="minorEastAsia" w:hint="eastAsia"/>
                <w:sz w:val="18"/>
              </w:rPr>
              <w:instrText>・</w:instrText>
            </w:r>
            <w:r w:rsidRPr="00E41BCF">
              <w:rPr>
                <w:rFonts w:asciiTheme="minorEastAsia" w:hAnsiTheme="minorEastAsia"/>
                <w:sz w:val="18"/>
              </w:rPr>
              <w:instrText xml:space="preserve">S),Q) </w:instrText>
            </w:r>
            <w:r w:rsidRPr="00E41BCF">
              <w:rPr>
                <w:rFonts w:asciiTheme="minorEastAsia" w:hAnsiTheme="minorEastAsia"/>
                <w:sz w:val="18"/>
              </w:rPr>
              <w:fldChar w:fldCharType="end"/>
            </w:r>
          </w:p>
        </w:tc>
      </w:tr>
      <w:tr w:rsidR="00E41BCF" w:rsidRPr="00E41BCF" w:rsidTr="00074DB0">
        <w:tc>
          <w:tcPr>
            <w:tcW w:w="1277" w:type="dxa"/>
            <w:tcBorders>
              <w:right w:val="dotted" w:sz="4" w:space="0" w:color="auto"/>
            </w:tcBorders>
            <w:vAlign w:val="center"/>
          </w:tcPr>
          <w:p w:rsidR="00E41BCF" w:rsidRPr="00E41BCF" w:rsidRDefault="00E41BCF" w:rsidP="00E41BCF">
            <w:pPr>
              <w:jc w:val="center"/>
              <w:rPr>
                <w:rFonts w:asciiTheme="minorEastAsia" w:hAnsiTheme="minorEastAsia"/>
                <w:sz w:val="18"/>
              </w:rPr>
            </w:pPr>
            <w:r w:rsidRPr="00E41BCF">
              <w:rPr>
                <w:rFonts w:asciiTheme="minorEastAsia" w:hAnsiTheme="minorEastAsia" w:hint="eastAsia"/>
                <w:sz w:val="18"/>
              </w:rPr>
              <w:t>2-122</w:t>
            </w:r>
            <w:r w:rsidR="00074DB0">
              <w:rPr>
                <w:rFonts w:asciiTheme="minorEastAsia" w:hAnsiTheme="minorEastAsia" w:hint="eastAsia"/>
                <w:sz w:val="18"/>
              </w:rPr>
              <w:t>ページ</w:t>
            </w:r>
          </w:p>
          <w:p w:rsidR="00E41BCF" w:rsidRPr="00E41BCF" w:rsidRDefault="00E41BCF" w:rsidP="00E41BCF">
            <w:pPr>
              <w:jc w:val="center"/>
              <w:rPr>
                <w:rFonts w:asciiTheme="minorEastAsia" w:hAnsiTheme="minorEastAsia"/>
                <w:sz w:val="18"/>
              </w:rPr>
            </w:pPr>
            <w:r w:rsidRPr="00E41BCF">
              <w:rPr>
                <w:rFonts w:asciiTheme="minorEastAsia" w:hAnsiTheme="minorEastAsia" w:hint="eastAsia"/>
                <w:sz w:val="18"/>
              </w:rPr>
              <w:t>表2</w:t>
            </w:r>
            <w:r w:rsidRPr="00E41BCF">
              <w:rPr>
                <w:rFonts w:asciiTheme="minorEastAsia" w:hAnsiTheme="minorEastAsia"/>
                <w:sz w:val="18"/>
              </w:rPr>
              <w:t>-2.90</w:t>
            </w:r>
          </w:p>
        </w:tc>
        <w:tc>
          <w:tcPr>
            <w:tcW w:w="2126" w:type="dxa"/>
            <w:tcBorders>
              <w:left w:val="dotted" w:sz="4" w:space="0" w:color="auto"/>
            </w:tcBorders>
            <w:vAlign w:val="center"/>
          </w:tcPr>
          <w:p w:rsidR="00E41BCF" w:rsidRPr="00E41BCF" w:rsidRDefault="00E41BCF" w:rsidP="00074DB0">
            <w:pPr>
              <w:rPr>
                <w:rFonts w:asciiTheme="minorEastAsia" w:hAnsiTheme="minorEastAsia"/>
                <w:sz w:val="18"/>
              </w:rPr>
            </w:pPr>
            <w:r>
              <w:rPr>
                <w:rFonts w:asciiTheme="minorEastAsia" w:hAnsiTheme="minorEastAsia" w:hint="eastAsia"/>
                <w:sz w:val="18"/>
              </w:rPr>
              <w:t>出典</w:t>
            </w:r>
          </w:p>
        </w:tc>
        <w:tc>
          <w:tcPr>
            <w:tcW w:w="3119" w:type="dxa"/>
          </w:tcPr>
          <w:p w:rsidR="00E41BCF" w:rsidRPr="00E41BCF" w:rsidRDefault="00E41BCF" w:rsidP="00E41BCF">
            <w:pPr>
              <w:jc w:val="left"/>
              <w:rPr>
                <w:rFonts w:asciiTheme="minorEastAsia" w:hAnsiTheme="minorEastAsia"/>
                <w:sz w:val="18"/>
              </w:rPr>
            </w:pPr>
            <w:r w:rsidRPr="00E41BCF">
              <w:rPr>
                <w:rFonts w:asciiTheme="minorEastAsia" w:hAnsiTheme="minorEastAsia" w:hint="eastAsia"/>
                <w:sz w:val="18"/>
              </w:rPr>
              <w:t>廃棄物焼却炉に係るばいじん等に含まれるダイオキシン類の量の基準及び測定の方法に関する省令（平成12年厚生省令第１号、最終改正：平成12年厚生省令第127号）</w:t>
            </w:r>
          </w:p>
        </w:tc>
        <w:tc>
          <w:tcPr>
            <w:tcW w:w="3685" w:type="dxa"/>
          </w:tcPr>
          <w:p w:rsidR="00E41BCF" w:rsidRPr="00E41BCF" w:rsidRDefault="00E41BCF" w:rsidP="00E41BCF">
            <w:pPr>
              <w:jc w:val="left"/>
              <w:rPr>
                <w:rFonts w:asciiTheme="minorEastAsia" w:hAnsiTheme="minorEastAsia"/>
                <w:sz w:val="18"/>
              </w:rPr>
            </w:pPr>
            <w:r w:rsidRPr="00E41BCF">
              <w:rPr>
                <w:rFonts w:asciiTheme="minorEastAsia" w:hAnsiTheme="minorEastAsia" w:hint="eastAsia"/>
                <w:sz w:val="18"/>
              </w:rPr>
              <w:t>ダイオキシン類対策特別措置法施行規則（平成11年総理府令第67号、最終改正：平成22年環境省令第５号）</w:t>
            </w:r>
          </w:p>
        </w:tc>
      </w:tr>
      <w:tr w:rsidR="00E41BCF" w:rsidRPr="00E41BCF" w:rsidTr="00074DB0">
        <w:tc>
          <w:tcPr>
            <w:tcW w:w="1277" w:type="dxa"/>
            <w:tcBorders>
              <w:right w:val="dotted" w:sz="4" w:space="0" w:color="auto"/>
            </w:tcBorders>
          </w:tcPr>
          <w:p w:rsidR="00E41BCF" w:rsidRPr="00E41BCF" w:rsidRDefault="00E41BCF" w:rsidP="00E41BCF">
            <w:pPr>
              <w:jc w:val="center"/>
              <w:rPr>
                <w:rFonts w:asciiTheme="minorEastAsia" w:hAnsiTheme="minorEastAsia"/>
                <w:sz w:val="18"/>
              </w:rPr>
            </w:pPr>
            <w:r w:rsidRPr="00E41BCF">
              <w:rPr>
                <w:rFonts w:asciiTheme="minorEastAsia" w:hAnsiTheme="minorEastAsia" w:hint="eastAsia"/>
                <w:sz w:val="18"/>
              </w:rPr>
              <w:t>2-149</w:t>
            </w:r>
            <w:r w:rsidR="00074DB0">
              <w:rPr>
                <w:rFonts w:asciiTheme="minorEastAsia" w:hAnsiTheme="minorEastAsia" w:hint="eastAsia"/>
                <w:sz w:val="18"/>
              </w:rPr>
              <w:t>ページ</w:t>
            </w:r>
          </w:p>
          <w:p w:rsidR="00E41BCF" w:rsidRPr="00E41BCF" w:rsidRDefault="00E41BCF" w:rsidP="00E41BCF">
            <w:pPr>
              <w:jc w:val="center"/>
              <w:rPr>
                <w:rFonts w:asciiTheme="minorEastAsia" w:hAnsiTheme="minorEastAsia"/>
                <w:sz w:val="18"/>
              </w:rPr>
            </w:pPr>
            <w:r w:rsidRPr="00E41BCF">
              <w:rPr>
                <w:rFonts w:asciiTheme="minorEastAsia" w:hAnsiTheme="minorEastAsia" w:hint="eastAsia"/>
                <w:sz w:val="18"/>
              </w:rPr>
              <w:t>表 2-2.112</w:t>
            </w:r>
          </w:p>
        </w:tc>
        <w:tc>
          <w:tcPr>
            <w:tcW w:w="2126" w:type="dxa"/>
            <w:tcBorders>
              <w:left w:val="dotted" w:sz="4" w:space="0" w:color="auto"/>
            </w:tcBorders>
            <w:vAlign w:val="center"/>
          </w:tcPr>
          <w:p w:rsidR="00E41BCF" w:rsidRPr="00E41BCF" w:rsidRDefault="00E41BCF" w:rsidP="00074DB0">
            <w:pPr>
              <w:rPr>
                <w:rFonts w:asciiTheme="minorEastAsia" w:hAnsiTheme="minorEastAsia"/>
                <w:sz w:val="18"/>
              </w:rPr>
            </w:pPr>
            <w:r>
              <w:rPr>
                <w:rFonts w:asciiTheme="minorEastAsia" w:hAnsiTheme="minorEastAsia" w:hint="eastAsia"/>
                <w:sz w:val="18"/>
              </w:rPr>
              <w:t>条例に基づく許容限度</w:t>
            </w:r>
          </w:p>
        </w:tc>
        <w:tc>
          <w:tcPr>
            <w:tcW w:w="3119" w:type="dxa"/>
          </w:tcPr>
          <w:p w:rsidR="00E41BCF" w:rsidRPr="00E41BCF" w:rsidRDefault="00E41BCF" w:rsidP="00E41BCF">
            <w:pPr>
              <w:jc w:val="left"/>
              <w:rPr>
                <w:rFonts w:asciiTheme="minorEastAsia" w:hAnsiTheme="minorEastAsia"/>
                <w:sz w:val="18"/>
              </w:rPr>
            </w:pPr>
            <w:r w:rsidRPr="00E41BCF">
              <w:rPr>
                <w:rFonts w:asciiTheme="minorEastAsia" w:hAnsiTheme="minorEastAsia" w:hint="eastAsia"/>
                <w:sz w:val="18"/>
              </w:rPr>
              <w:t>ポリ塩化ビフェニル：</w:t>
            </w:r>
            <w:r w:rsidRPr="00E41BCF">
              <w:rPr>
                <w:rFonts w:asciiTheme="minorEastAsia" w:hAnsiTheme="minorEastAsia"/>
                <w:sz w:val="18"/>
              </w:rPr>
              <w:t>0.0003mg/ℓ</w:t>
            </w:r>
          </w:p>
          <w:p w:rsidR="00E41BCF" w:rsidRPr="00E41BCF" w:rsidRDefault="00E41BCF" w:rsidP="00E41BCF">
            <w:pPr>
              <w:jc w:val="left"/>
              <w:rPr>
                <w:rFonts w:asciiTheme="minorEastAsia" w:hAnsiTheme="minorEastAsia"/>
                <w:sz w:val="18"/>
              </w:rPr>
            </w:pPr>
            <w:r w:rsidRPr="00E41BCF">
              <w:rPr>
                <w:rFonts w:asciiTheme="minorEastAsia" w:hAnsiTheme="minorEastAsia" w:hint="eastAsia"/>
                <w:sz w:val="18"/>
              </w:rPr>
              <w:t>1,1,1-トリクロロエタン：0.3mg/</w:t>
            </w:r>
            <w:r w:rsidRPr="00E41BCF">
              <w:rPr>
                <w:rFonts w:asciiTheme="minorEastAsia" w:hAnsiTheme="minorEastAsia"/>
                <w:sz w:val="18"/>
              </w:rPr>
              <w:t>ℓ</w:t>
            </w:r>
          </w:p>
        </w:tc>
        <w:tc>
          <w:tcPr>
            <w:tcW w:w="3685" w:type="dxa"/>
          </w:tcPr>
          <w:p w:rsidR="00E41BCF" w:rsidRPr="00E41BCF" w:rsidRDefault="00E41BCF" w:rsidP="00E41BCF">
            <w:pPr>
              <w:jc w:val="left"/>
              <w:rPr>
                <w:rFonts w:asciiTheme="minorEastAsia" w:hAnsiTheme="minorEastAsia"/>
                <w:sz w:val="18"/>
              </w:rPr>
            </w:pPr>
            <w:r w:rsidRPr="00E41BCF">
              <w:rPr>
                <w:rFonts w:asciiTheme="minorEastAsia" w:hAnsiTheme="minorEastAsia" w:hint="eastAsia"/>
                <w:sz w:val="18"/>
              </w:rPr>
              <w:t>ポリ塩化ビフェニル：検出されないこと。</w:t>
            </w:r>
          </w:p>
          <w:p w:rsidR="00E41BCF" w:rsidRPr="00E41BCF" w:rsidRDefault="00E41BCF" w:rsidP="00E41BCF">
            <w:pPr>
              <w:jc w:val="left"/>
              <w:rPr>
                <w:rFonts w:asciiTheme="minorEastAsia" w:hAnsiTheme="minorEastAsia"/>
                <w:sz w:val="18"/>
              </w:rPr>
            </w:pPr>
            <w:r w:rsidRPr="00E41BCF">
              <w:rPr>
                <w:rFonts w:asciiTheme="minorEastAsia" w:hAnsiTheme="minorEastAsia" w:hint="eastAsia"/>
                <w:sz w:val="18"/>
              </w:rPr>
              <w:t>1,1,1-トリクロロエタン：1mg/</w:t>
            </w:r>
            <w:r w:rsidRPr="00E41BCF">
              <w:rPr>
                <w:rFonts w:asciiTheme="minorEastAsia" w:hAnsiTheme="minorEastAsia"/>
                <w:sz w:val="18"/>
              </w:rPr>
              <w:t>ℓ</w:t>
            </w:r>
          </w:p>
        </w:tc>
      </w:tr>
      <w:tr w:rsidR="00074DB0" w:rsidRPr="00E41BCF" w:rsidTr="00074DB0">
        <w:tc>
          <w:tcPr>
            <w:tcW w:w="3403" w:type="dxa"/>
            <w:gridSpan w:val="2"/>
          </w:tcPr>
          <w:p w:rsidR="00074DB0" w:rsidRPr="00E41BCF" w:rsidRDefault="00074DB0" w:rsidP="00E41BCF">
            <w:pPr>
              <w:jc w:val="center"/>
              <w:rPr>
                <w:rFonts w:asciiTheme="minorEastAsia" w:hAnsiTheme="minorEastAsia"/>
                <w:sz w:val="18"/>
              </w:rPr>
            </w:pPr>
            <w:r w:rsidRPr="00E41BCF">
              <w:rPr>
                <w:rFonts w:asciiTheme="minorEastAsia" w:hAnsiTheme="minorEastAsia" w:hint="eastAsia"/>
                <w:sz w:val="18"/>
              </w:rPr>
              <w:t>4-10</w:t>
            </w:r>
            <w:r>
              <w:rPr>
                <w:rFonts w:asciiTheme="minorEastAsia" w:hAnsiTheme="minorEastAsia" w:hint="eastAsia"/>
                <w:sz w:val="18"/>
              </w:rPr>
              <w:t>ページ</w:t>
            </w:r>
          </w:p>
          <w:p w:rsidR="00074DB0" w:rsidRPr="00E41BCF" w:rsidRDefault="00074DB0" w:rsidP="00074DB0">
            <w:pPr>
              <w:jc w:val="center"/>
              <w:rPr>
                <w:rFonts w:asciiTheme="minorEastAsia" w:hAnsiTheme="minorEastAsia"/>
                <w:sz w:val="18"/>
              </w:rPr>
            </w:pPr>
            <w:r w:rsidRPr="00E41BCF">
              <w:rPr>
                <w:rFonts w:asciiTheme="minorEastAsia" w:hAnsiTheme="minorEastAsia"/>
                <w:sz w:val="18"/>
              </w:rPr>
              <w:t>(2)</w:t>
            </w:r>
            <w:r w:rsidRPr="00E41BCF">
              <w:rPr>
                <w:rFonts w:asciiTheme="minorEastAsia" w:hAnsiTheme="minorEastAsia" w:hint="eastAsia"/>
                <w:sz w:val="18"/>
              </w:rPr>
              <w:t>上から5行目</w:t>
            </w:r>
          </w:p>
        </w:tc>
        <w:tc>
          <w:tcPr>
            <w:tcW w:w="3119" w:type="dxa"/>
          </w:tcPr>
          <w:p w:rsidR="00074DB0" w:rsidRPr="00E41BCF" w:rsidRDefault="00074DB0" w:rsidP="00E41BCF">
            <w:pPr>
              <w:jc w:val="left"/>
              <w:rPr>
                <w:rFonts w:asciiTheme="minorEastAsia" w:hAnsiTheme="minorEastAsia"/>
                <w:sz w:val="18"/>
              </w:rPr>
            </w:pPr>
            <w:r w:rsidRPr="00E41BCF">
              <w:rPr>
                <w:rFonts w:asciiTheme="minorEastAsia" w:hAnsiTheme="minorEastAsia" w:hint="eastAsia"/>
                <w:sz w:val="18"/>
              </w:rPr>
              <w:t>…Ｂ案（煙突高さ100m）のほうが、Ａ案（煙突高さ59m）と比べ…</w:t>
            </w:r>
          </w:p>
        </w:tc>
        <w:tc>
          <w:tcPr>
            <w:tcW w:w="3685" w:type="dxa"/>
          </w:tcPr>
          <w:p w:rsidR="00074DB0" w:rsidRPr="00E41BCF" w:rsidRDefault="00074DB0" w:rsidP="00E41BCF">
            <w:pPr>
              <w:jc w:val="left"/>
              <w:rPr>
                <w:rFonts w:asciiTheme="minorEastAsia" w:hAnsiTheme="minorEastAsia"/>
                <w:sz w:val="18"/>
              </w:rPr>
            </w:pPr>
            <w:r w:rsidRPr="00E41BCF">
              <w:rPr>
                <w:rFonts w:asciiTheme="minorEastAsia" w:hAnsiTheme="minorEastAsia" w:hint="eastAsia"/>
                <w:sz w:val="18"/>
              </w:rPr>
              <w:t>…Ｂ案（煙突高さ59m）のほうが、Ａ案（煙突高さ100m）と比べ…</w:t>
            </w:r>
          </w:p>
        </w:tc>
      </w:tr>
    </w:tbl>
    <w:p w:rsidR="00E41BCF" w:rsidRPr="00C04920" w:rsidRDefault="00E41BCF" w:rsidP="00C04920">
      <w:pPr>
        <w:jc w:val="center"/>
        <w:rPr>
          <w:rFonts w:asciiTheme="minorEastAsia" w:hAnsiTheme="minorEastAsia"/>
        </w:rPr>
      </w:pPr>
      <w:bookmarkStart w:id="0" w:name="_GoBack"/>
      <w:bookmarkEnd w:id="0"/>
    </w:p>
    <w:sectPr w:rsidR="00E41BCF" w:rsidRPr="00C04920" w:rsidSect="00074DB0">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EFF" w:rsidRDefault="00047EFF" w:rsidP="00CB5535">
      <w:r>
        <w:separator/>
      </w:r>
    </w:p>
  </w:endnote>
  <w:endnote w:type="continuationSeparator" w:id="0">
    <w:p w:rsidR="00047EFF" w:rsidRDefault="00047EFF" w:rsidP="00CB5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EFF" w:rsidRDefault="00047EFF" w:rsidP="00CB5535">
      <w:r>
        <w:separator/>
      </w:r>
    </w:p>
  </w:footnote>
  <w:footnote w:type="continuationSeparator" w:id="0">
    <w:p w:rsidR="00047EFF" w:rsidRDefault="00047EFF" w:rsidP="00CB5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BCF"/>
    <w:rsid w:val="00047EFF"/>
    <w:rsid w:val="00074DB0"/>
    <w:rsid w:val="001066F4"/>
    <w:rsid w:val="00827C3E"/>
    <w:rsid w:val="00B12B63"/>
    <w:rsid w:val="00C04920"/>
    <w:rsid w:val="00C574B4"/>
    <w:rsid w:val="00CB5535"/>
    <w:rsid w:val="00E41BCF"/>
    <w:rsid w:val="00FE3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1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4DB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74DB0"/>
    <w:rPr>
      <w:rFonts w:asciiTheme="majorHAnsi" w:eastAsiaTheme="majorEastAsia" w:hAnsiTheme="majorHAnsi" w:cstheme="majorBidi"/>
      <w:sz w:val="18"/>
      <w:szCs w:val="18"/>
    </w:rPr>
  </w:style>
  <w:style w:type="paragraph" w:styleId="a6">
    <w:name w:val="header"/>
    <w:basedOn w:val="a"/>
    <w:link w:val="a7"/>
    <w:uiPriority w:val="99"/>
    <w:unhideWhenUsed/>
    <w:rsid w:val="00CB5535"/>
    <w:pPr>
      <w:tabs>
        <w:tab w:val="center" w:pos="4252"/>
        <w:tab w:val="right" w:pos="8504"/>
      </w:tabs>
      <w:snapToGrid w:val="0"/>
    </w:pPr>
  </w:style>
  <w:style w:type="character" w:customStyle="1" w:styleId="a7">
    <w:name w:val="ヘッダー (文字)"/>
    <w:basedOn w:val="a0"/>
    <w:link w:val="a6"/>
    <w:uiPriority w:val="99"/>
    <w:rsid w:val="00CB5535"/>
  </w:style>
  <w:style w:type="paragraph" w:styleId="a8">
    <w:name w:val="footer"/>
    <w:basedOn w:val="a"/>
    <w:link w:val="a9"/>
    <w:uiPriority w:val="99"/>
    <w:unhideWhenUsed/>
    <w:rsid w:val="00CB5535"/>
    <w:pPr>
      <w:tabs>
        <w:tab w:val="center" w:pos="4252"/>
        <w:tab w:val="right" w:pos="8504"/>
      </w:tabs>
      <w:snapToGrid w:val="0"/>
    </w:pPr>
  </w:style>
  <w:style w:type="character" w:customStyle="1" w:styleId="a9">
    <w:name w:val="フッター (文字)"/>
    <w:basedOn w:val="a0"/>
    <w:link w:val="a8"/>
    <w:uiPriority w:val="99"/>
    <w:rsid w:val="00CB55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1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4DB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74DB0"/>
    <w:rPr>
      <w:rFonts w:asciiTheme="majorHAnsi" w:eastAsiaTheme="majorEastAsia" w:hAnsiTheme="majorHAnsi" w:cstheme="majorBidi"/>
      <w:sz w:val="18"/>
      <w:szCs w:val="18"/>
    </w:rPr>
  </w:style>
  <w:style w:type="paragraph" w:styleId="a6">
    <w:name w:val="header"/>
    <w:basedOn w:val="a"/>
    <w:link w:val="a7"/>
    <w:uiPriority w:val="99"/>
    <w:unhideWhenUsed/>
    <w:rsid w:val="00CB5535"/>
    <w:pPr>
      <w:tabs>
        <w:tab w:val="center" w:pos="4252"/>
        <w:tab w:val="right" w:pos="8504"/>
      </w:tabs>
      <w:snapToGrid w:val="0"/>
    </w:pPr>
  </w:style>
  <w:style w:type="character" w:customStyle="1" w:styleId="a7">
    <w:name w:val="ヘッダー (文字)"/>
    <w:basedOn w:val="a0"/>
    <w:link w:val="a6"/>
    <w:uiPriority w:val="99"/>
    <w:rsid w:val="00CB5535"/>
  </w:style>
  <w:style w:type="paragraph" w:styleId="a8">
    <w:name w:val="footer"/>
    <w:basedOn w:val="a"/>
    <w:link w:val="a9"/>
    <w:uiPriority w:val="99"/>
    <w:unhideWhenUsed/>
    <w:rsid w:val="00CB5535"/>
    <w:pPr>
      <w:tabs>
        <w:tab w:val="center" w:pos="4252"/>
        <w:tab w:val="right" w:pos="8504"/>
      </w:tabs>
      <w:snapToGrid w:val="0"/>
    </w:pPr>
  </w:style>
  <w:style w:type="character" w:customStyle="1" w:styleId="a9">
    <w:name w:val="フッター (文字)"/>
    <w:basedOn w:val="a0"/>
    <w:link w:val="a8"/>
    <w:uiPriority w:val="99"/>
    <w:rsid w:val="00CB5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2017-05-17T22:10:00Z</cp:lastPrinted>
  <dcterms:created xsi:type="dcterms:W3CDTF">2017-05-18T08:28:00Z</dcterms:created>
  <dcterms:modified xsi:type="dcterms:W3CDTF">2017-06-12T05:17:00Z</dcterms:modified>
</cp:coreProperties>
</file>