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5712" w14:textId="77777777" w:rsidR="00252CF8" w:rsidRPr="005A2D01" w:rsidRDefault="00DE4C5B" w:rsidP="00C07E76">
      <w:pPr>
        <w:pStyle w:val="1"/>
        <w:snapToGrid w:val="0"/>
        <w:spacing w:line="640" w:lineRule="exact"/>
        <w:ind w:leftChars="750" w:left="1575" w:rightChars="750" w:right="1575"/>
        <w:rPr>
          <w:rFonts w:asciiTheme="majorEastAsia" w:hAnsiTheme="majorEastAsia"/>
          <w:sz w:val="56"/>
        </w:rPr>
      </w:pPr>
      <w:r w:rsidRPr="005A2D01">
        <w:rPr>
          <w:rFonts w:asciiTheme="majorEastAsia" w:hAnsiTheme="majorEastAsia" w:hint="eastAsia"/>
          <w:sz w:val="56"/>
        </w:rPr>
        <w:t>不動産等公売参加の手引</w:t>
      </w:r>
    </w:p>
    <w:tbl>
      <w:tblPr>
        <w:tblStyle w:val="a4"/>
        <w:tblpPr w:leftFromText="142" w:rightFromText="142" w:vertAnchor="text" w:horzAnchor="margin" w:tblpY="58"/>
        <w:tblW w:w="9639" w:type="dxa"/>
        <w:tblLayout w:type="fixed"/>
        <w:tblLook w:val="04A0" w:firstRow="1" w:lastRow="0" w:firstColumn="1" w:lastColumn="0" w:noHBand="0" w:noVBand="1"/>
      </w:tblPr>
      <w:tblGrid>
        <w:gridCol w:w="1843"/>
        <w:gridCol w:w="7796"/>
      </w:tblGrid>
      <w:tr w:rsidR="005A2D01" w:rsidRPr="005A2D01" w14:paraId="45F339B3" w14:textId="77777777" w:rsidTr="0069428B">
        <w:trPr>
          <w:trHeight w:val="7030"/>
        </w:trPr>
        <w:tc>
          <w:tcPr>
            <w:tcW w:w="1843" w:type="dxa"/>
            <w:vAlign w:val="center"/>
          </w:tcPr>
          <w:p w14:paraId="0C3944AE" w14:textId="77777777" w:rsidR="00E434CF" w:rsidRPr="005A2D01" w:rsidRDefault="00E434CF" w:rsidP="0069428B">
            <w:pPr>
              <w:adjustRightInd w:val="0"/>
              <w:snapToGrid w:val="0"/>
              <w:jc w:val="center"/>
              <w:rPr>
                <w:rFonts w:asciiTheme="majorEastAsia" w:hAnsiTheme="majorEastAsia"/>
                <w:sz w:val="22"/>
              </w:rPr>
            </w:pPr>
            <w:r w:rsidRPr="005A2D01">
              <w:rPr>
                <w:rFonts w:asciiTheme="majorEastAsia" w:hAnsiTheme="majorEastAsia" w:hint="eastAsia"/>
                <w:spacing w:val="15"/>
                <w:kern w:val="0"/>
                <w:sz w:val="22"/>
                <w:fitText w:val="1470" w:id="1775405568"/>
              </w:rPr>
              <w:t>公売参加資</w:t>
            </w:r>
            <w:r w:rsidRPr="005A2D01">
              <w:rPr>
                <w:rFonts w:asciiTheme="majorEastAsia" w:hAnsiTheme="majorEastAsia" w:hint="eastAsia"/>
                <w:kern w:val="0"/>
                <w:sz w:val="22"/>
                <w:fitText w:val="1470" w:id="1775405568"/>
              </w:rPr>
              <w:t>格</w:t>
            </w:r>
          </w:p>
        </w:tc>
        <w:tc>
          <w:tcPr>
            <w:tcW w:w="7796" w:type="dxa"/>
            <w:vAlign w:val="center"/>
          </w:tcPr>
          <w:p w14:paraId="0C0C8A6D" w14:textId="77777777" w:rsidR="00E434CF" w:rsidRPr="005A2D01" w:rsidRDefault="00E434CF" w:rsidP="0069428B">
            <w:pPr>
              <w:pStyle w:val="a5"/>
              <w:autoSpaceDE w:val="0"/>
              <w:autoSpaceDN w:val="0"/>
              <w:adjustRightInd w:val="0"/>
              <w:snapToGrid w:val="0"/>
              <w:spacing w:line="276" w:lineRule="auto"/>
              <w:ind w:leftChars="0" w:left="220" w:hangingChars="100" w:hanging="220"/>
              <w:jc w:val="left"/>
              <w:rPr>
                <w:rFonts w:asciiTheme="majorEastAsia" w:hAnsiTheme="majorEastAsia"/>
                <w:sz w:val="20"/>
                <w:szCs w:val="20"/>
              </w:rPr>
            </w:pPr>
            <w:r w:rsidRPr="005A2D01">
              <w:rPr>
                <w:rFonts w:asciiTheme="majorEastAsia" w:hAnsiTheme="majorEastAsia" w:hint="eastAsia"/>
                <w:sz w:val="22"/>
                <w:szCs w:val="20"/>
              </w:rPr>
              <w:t>１</w:t>
            </w:r>
            <w:r w:rsidRPr="005A2D01">
              <w:rPr>
                <w:rFonts w:asciiTheme="majorEastAsia" w:hAnsiTheme="majorEastAsia" w:hint="eastAsia"/>
                <w:sz w:val="20"/>
                <w:szCs w:val="20"/>
              </w:rPr>
              <w:t xml:space="preserve">　公</w:t>
            </w:r>
            <w:r w:rsidR="008D3AEE" w:rsidRPr="005A2D01">
              <w:rPr>
                <w:rFonts w:asciiTheme="majorEastAsia" w:hAnsiTheme="majorEastAsia" w:hint="eastAsia"/>
                <w:sz w:val="20"/>
                <w:szCs w:val="20"/>
              </w:rPr>
              <w:t>売保証金（次の「公売保証金」の項目参照）を提供すれば、原則どな</w:t>
            </w:r>
            <w:r w:rsidRPr="005A2D01">
              <w:rPr>
                <w:rFonts w:asciiTheme="majorEastAsia" w:hAnsiTheme="majorEastAsia" w:hint="eastAsia"/>
                <w:sz w:val="20"/>
                <w:szCs w:val="20"/>
              </w:rPr>
              <w:t>たでも公売に参加することができます。</w:t>
            </w:r>
          </w:p>
          <w:p w14:paraId="58272873" w14:textId="77777777" w:rsidR="00282E18" w:rsidRPr="005A2D01" w:rsidRDefault="00E434CF" w:rsidP="0069428B">
            <w:pPr>
              <w:pStyle w:val="a5"/>
              <w:autoSpaceDE w:val="0"/>
              <w:autoSpaceDN w:val="0"/>
              <w:adjustRightInd w:val="0"/>
              <w:snapToGrid w:val="0"/>
              <w:spacing w:line="276" w:lineRule="auto"/>
              <w:ind w:leftChars="0" w:left="200" w:hangingChars="100" w:hanging="200"/>
              <w:jc w:val="left"/>
              <w:rPr>
                <w:rFonts w:asciiTheme="majorEastAsia" w:hAnsiTheme="majorEastAsia"/>
                <w:sz w:val="20"/>
                <w:szCs w:val="20"/>
              </w:rPr>
            </w:pPr>
            <w:r w:rsidRPr="005A2D01">
              <w:rPr>
                <w:rFonts w:asciiTheme="majorEastAsia" w:hAnsiTheme="majorEastAsia" w:hint="eastAsia"/>
                <w:sz w:val="20"/>
                <w:szCs w:val="20"/>
              </w:rPr>
              <w:t xml:space="preserve">　　ただし、公売場所への入場、入札等を制限されている者等（国税徴収法　第92条、第108条参照）は公売財産の買受人になることはできません。</w:t>
            </w:r>
          </w:p>
          <w:p w14:paraId="7147AE19" w14:textId="77777777" w:rsidR="000C25D7" w:rsidRPr="005A2D01" w:rsidRDefault="00282E18" w:rsidP="0069428B">
            <w:pPr>
              <w:pStyle w:val="a5"/>
              <w:autoSpaceDE w:val="0"/>
              <w:autoSpaceDN w:val="0"/>
              <w:adjustRightInd w:val="0"/>
              <w:snapToGrid w:val="0"/>
              <w:spacing w:line="276" w:lineRule="auto"/>
              <w:ind w:leftChars="100" w:left="210" w:firstLineChars="100" w:firstLine="200"/>
              <w:jc w:val="left"/>
              <w:rPr>
                <w:rFonts w:asciiTheme="majorEastAsia" w:hAnsiTheme="majorEastAsia"/>
                <w:sz w:val="20"/>
                <w:szCs w:val="20"/>
              </w:rPr>
            </w:pPr>
            <w:r w:rsidRPr="005A2D01">
              <w:rPr>
                <w:rFonts w:asciiTheme="majorEastAsia" w:hAnsiTheme="majorEastAsia" w:hint="eastAsia"/>
                <w:sz w:val="20"/>
                <w:szCs w:val="20"/>
              </w:rPr>
              <w:t>また、入札者は次のいずれにも該当しないことを陳述書により陳述しなければ入札することができません。（国税徴収法第99条の2）</w:t>
            </w:r>
          </w:p>
          <w:p w14:paraId="65EEEB9E" w14:textId="77777777" w:rsidR="00282E18" w:rsidRPr="005A2D01" w:rsidRDefault="00282E18" w:rsidP="0069428B">
            <w:pPr>
              <w:pStyle w:val="a5"/>
              <w:autoSpaceDE w:val="0"/>
              <w:autoSpaceDN w:val="0"/>
              <w:adjustRightInd w:val="0"/>
              <w:snapToGrid w:val="0"/>
              <w:spacing w:line="276" w:lineRule="auto"/>
              <w:ind w:leftChars="200" w:left="420"/>
              <w:jc w:val="left"/>
              <w:rPr>
                <w:rFonts w:asciiTheme="majorEastAsia" w:hAnsiTheme="majorEastAsia"/>
                <w:sz w:val="20"/>
                <w:szCs w:val="20"/>
              </w:rPr>
            </w:pPr>
            <w:r w:rsidRPr="005A2D01">
              <w:rPr>
                <w:rFonts w:asciiTheme="majorEastAsia" w:hAnsiTheme="majorEastAsia" w:hint="eastAsia"/>
                <w:sz w:val="20"/>
                <w:szCs w:val="20"/>
              </w:rPr>
              <w:t>①入札者（法人の場合はその役員）が暴力団員又は暴力団員でなくなった日から５年を経過しない者（以下「暴力団員等」という）であること。</w:t>
            </w:r>
          </w:p>
          <w:p w14:paraId="19D1F407" w14:textId="77777777" w:rsidR="008D3AEE" w:rsidRPr="005A2D01" w:rsidRDefault="00282E18" w:rsidP="0069428B">
            <w:pPr>
              <w:pStyle w:val="a5"/>
              <w:autoSpaceDE w:val="0"/>
              <w:autoSpaceDN w:val="0"/>
              <w:adjustRightInd w:val="0"/>
              <w:snapToGrid w:val="0"/>
              <w:spacing w:line="276" w:lineRule="auto"/>
              <w:ind w:leftChars="0" w:left="400" w:hangingChars="200" w:hanging="400"/>
              <w:jc w:val="left"/>
              <w:rPr>
                <w:rFonts w:asciiTheme="majorEastAsia" w:hAnsiTheme="majorEastAsia"/>
                <w:sz w:val="20"/>
                <w:szCs w:val="20"/>
              </w:rPr>
            </w:pPr>
            <w:r w:rsidRPr="005A2D01">
              <w:rPr>
                <w:rFonts w:asciiTheme="majorEastAsia" w:hAnsiTheme="majorEastAsia" w:hint="eastAsia"/>
                <w:sz w:val="20"/>
                <w:szCs w:val="20"/>
              </w:rPr>
              <w:t xml:space="preserve">　　②自己の計算において入札をさせようとする者（法人の場合はその役員）が暴</w:t>
            </w:r>
          </w:p>
          <w:p w14:paraId="268B6C0A" w14:textId="77777777" w:rsidR="008D3AEE" w:rsidRPr="005A2D01" w:rsidRDefault="00282E18" w:rsidP="0069428B">
            <w:pPr>
              <w:autoSpaceDE w:val="0"/>
              <w:autoSpaceDN w:val="0"/>
              <w:adjustRightInd w:val="0"/>
              <w:snapToGrid w:val="0"/>
              <w:spacing w:line="276" w:lineRule="auto"/>
              <w:ind w:firstLineChars="100" w:firstLine="200"/>
              <w:jc w:val="left"/>
              <w:rPr>
                <w:rFonts w:asciiTheme="majorEastAsia" w:hAnsiTheme="majorEastAsia"/>
                <w:sz w:val="20"/>
                <w:szCs w:val="20"/>
              </w:rPr>
            </w:pPr>
            <w:r w:rsidRPr="005A2D01">
              <w:rPr>
                <w:rFonts w:asciiTheme="majorEastAsia" w:hAnsiTheme="majorEastAsia" w:hint="eastAsia"/>
                <w:sz w:val="20"/>
                <w:szCs w:val="20"/>
              </w:rPr>
              <w:t>力団員等であること。</w:t>
            </w:r>
          </w:p>
          <w:p w14:paraId="4DBC77A6" w14:textId="77777777" w:rsidR="008D3AEE" w:rsidRPr="005A2D01" w:rsidRDefault="00EF2B35" w:rsidP="0069428B">
            <w:pPr>
              <w:pStyle w:val="a5"/>
              <w:autoSpaceDE w:val="0"/>
              <w:autoSpaceDN w:val="0"/>
              <w:adjustRightInd w:val="0"/>
              <w:snapToGrid w:val="0"/>
              <w:spacing w:line="276" w:lineRule="auto"/>
              <w:ind w:leftChars="100" w:left="210" w:firstLineChars="100" w:firstLine="200"/>
              <w:jc w:val="left"/>
              <w:rPr>
                <w:rFonts w:asciiTheme="majorEastAsia" w:hAnsiTheme="majorEastAsia"/>
                <w:sz w:val="20"/>
                <w:szCs w:val="20"/>
              </w:rPr>
            </w:pPr>
            <w:r w:rsidRPr="005A2D01">
              <w:rPr>
                <w:rFonts w:asciiTheme="majorEastAsia" w:hAnsiTheme="majorEastAsia" w:hint="eastAsia"/>
                <w:sz w:val="20"/>
                <w:szCs w:val="20"/>
              </w:rPr>
              <w:t>なお、提出された陳述書の内容については、指定許認可等を受けていることを証する書類の提出があった場合を除き、国税徴収法第106条の2に基づき、大阪府警に暴力団員等に該当するか否かについて、調査の嘱託をします。</w:t>
            </w:r>
          </w:p>
          <w:p w14:paraId="5247081A" w14:textId="77777777" w:rsidR="00E434CF" w:rsidRPr="005A2D01" w:rsidRDefault="00E434CF" w:rsidP="0069428B">
            <w:pPr>
              <w:pStyle w:val="a5"/>
              <w:autoSpaceDE w:val="0"/>
              <w:autoSpaceDN w:val="0"/>
              <w:adjustRightInd w:val="0"/>
              <w:snapToGrid w:val="0"/>
              <w:spacing w:line="276" w:lineRule="auto"/>
              <w:ind w:leftChars="0" w:left="0" w:hanging="1"/>
              <w:jc w:val="left"/>
              <w:rPr>
                <w:rFonts w:asciiTheme="majorEastAsia" w:hAnsiTheme="majorEastAsia"/>
                <w:sz w:val="20"/>
                <w:szCs w:val="20"/>
              </w:rPr>
            </w:pPr>
            <w:r w:rsidRPr="005A2D01">
              <w:rPr>
                <w:rFonts w:asciiTheme="majorEastAsia" w:hAnsiTheme="majorEastAsia" w:hint="eastAsia"/>
                <w:sz w:val="22"/>
                <w:szCs w:val="20"/>
              </w:rPr>
              <w:t>２</w:t>
            </w:r>
            <w:r w:rsidRPr="005A2D01">
              <w:rPr>
                <w:rFonts w:asciiTheme="majorEastAsia" w:hAnsiTheme="majorEastAsia" w:hint="eastAsia"/>
                <w:sz w:val="20"/>
                <w:szCs w:val="20"/>
              </w:rPr>
              <w:t xml:space="preserve">　代理人が入札する場合には、代理権限を証する委任状が必要です。</w:t>
            </w:r>
          </w:p>
          <w:p w14:paraId="0A0E9D66" w14:textId="77777777" w:rsidR="00E434CF" w:rsidRPr="005A2D01" w:rsidRDefault="00E434CF" w:rsidP="0069428B">
            <w:pPr>
              <w:pStyle w:val="a5"/>
              <w:autoSpaceDE w:val="0"/>
              <w:autoSpaceDN w:val="0"/>
              <w:adjustRightInd w:val="0"/>
              <w:snapToGrid w:val="0"/>
              <w:spacing w:line="276" w:lineRule="auto"/>
              <w:ind w:leftChars="0" w:left="200" w:hangingChars="100" w:hanging="200"/>
              <w:jc w:val="left"/>
              <w:rPr>
                <w:rFonts w:asciiTheme="majorEastAsia" w:hAnsiTheme="majorEastAsia"/>
                <w:sz w:val="20"/>
                <w:szCs w:val="20"/>
              </w:rPr>
            </w:pPr>
            <w:r w:rsidRPr="005A2D01">
              <w:rPr>
                <w:rFonts w:asciiTheme="majorEastAsia" w:hAnsiTheme="majorEastAsia" w:hint="eastAsia"/>
                <w:sz w:val="20"/>
                <w:szCs w:val="20"/>
              </w:rPr>
              <w:t xml:space="preserve">　　ま</w:t>
            </w:r>
            <w:r w:rsidR="00332B64" w:rsidRPr="005A2D01">
              <w:rPr>
                <w:rFonts w:asciiTheme="majorEastAsia" w:hAnsiTheme="majorEastAsia" w:hint="eastAsia"/>
                <w:sz w:val="20"/>
                <w:szCs w:val="20"/>
              </w:rPr>
              <w:t>た、法人の代表権限を有しない方（従業員など）がその法人のために</w:t>
            </w:r>
            <w:r w:rsidRPr="005A2D01">
              <w:rPr>
                <w:rFonts w:asciiTheme="majorEastAsia" w:hAnsiTheme="majorEastAsia" w:hint="eastAsia"/>
                <w:sz w:val="20"/>
                <w:szCs w:val="20"/>
              </w:rPr>
              <w:t>入札手続を行う場合にも、代表権限を証する委任状が必要です。</w:t>
            </w:r>
          </w:p>
          <w:p w14:paraId="6DB8FE43" w14:textId="77777777" w:rsidR="00E434CF" w:rsidRPr="005A2D01" w:rsidRDefault="00E434CF" w:rsidP="0069428B">
            <w:pPr>
              <w:pStyle w:val="a5"/>
              <w:autoSpaceDE w:val="0"/>
              <w:autoSpaceDN w:val="0"/>
              <w:adjustRightInd w:val="0"/>
              <w:snapToGrid w:val="0"/>
              <w:spacing w:line="276" w:lineRule="auto"/>
              <w:ind w:leftChars="0" w:left="200" w:hangingChars="100" w:hanging="200"/>
              <w:jc w:val="left"/>
              <w:rPr>
                <w:rFonts w:asciiTheme="majorEastAsia" w:hAnsiTheme="majorEastAsia"/>
                <w:sz w:val="20"/>
                <w:szCs w:val="20"/>
              </w:rPr>
            </w:pPr>
            <w:r w:rsidRPr="005A2D01">
              <w:rPr>
                <w:rFonts w:asciiTheme="majorEastAsia" w:hAnsiTheme="majorEastAsia" w:hint="eastAsia"/>
                <w:sz w:val="20"/>
                <w:szCs w:val="20"/>
              </w:rPr>
              <w:t xml:space="preserve">　　なお、共同で入札する場合には、「共同入札申出書兼共同入札代表者届書」に全員の連署が必要</w:t>
            </w:r>
            <w:r w:rsidR="00AC1EF6" w:rsidRPr="005A2D01">
              <w:rPr>
                <w:rFonts w:asciiTheme="majorEastAsia" w:hAnsiTheme="majorEastAsia" w:hint="eastAsia"/>
                <w:sz w:val="20"/>
                <w:szCs w:val="20"/>
              </w:rPr>
              <w:t>（※）</w:t>
            </w:r>
            <w:r w:rsidRPr="005A2D01">
              <w:rPr>
                <w:rFonts w:asciiTheme="majorEastAsia" w:hAnsiTheme="majorEastAsia" w:hint="eastAsia"/>
                <w:sz w:val="20"/>
                <w:szCs w:val="20"/>
              </w:rPr>
              <w:t>です。連署できない場合は委任状が必要となります。</w:t>
            </w:r>
          </w:p>
          <w:p w14:paraId="6CFF309F" w14:textId="77777777" w:rsidR="00AC1EF6" w:rsidRPr="005A2D01" w:rsidRDefault="00AC1EF6" w:rsidP="0069428B">
            <w:pPr>
              <w:pStyle w:val="a5"/>
              <w:autoSpaceDE w:val="0"/>
              <w:autoSpaceDN w:val="0"/>
              <w:adjustRightInd w:val="0"/>
              <w:snapToGrid w:val="0"/>
              <w:spacing w:line="276" w:lineRule="auto"/>
              <w:ind w:leftChars="0" w:left="200" w:hangingChars="100" w:hanging="200"/>
              <w:jc w:val="left"/>
              <w:rPr>
                <w:rFonts w:asciiTheme="majorEastAsia" w:hAnsiTheme="majorEastAsia"/>
                <w:sz w:val="20"/>
                <w:szCs w:val="20"/>
              </w:rPr>
            </w:pPr>
            <w:r w:rsidRPr="005A2D01">
              <w:rPr>
                <w:rFonts w:asciiTheme="majorEastAsia" w:hAnsiTheme="majorEastAsia" w:hint="eastAsia"/>
                <w:sz w:val="20"/>
                <w:szCs w:val="20"/>
              </w:rPr>
              <w:t xml:space="preserve">　　委任状は公売保証金の提供（納付）時に提出してください。</w:t>
            </w:r>
          </w:p>
          <w:p w14:paraId="14F92D57" w14:textId="77777777" w:rsidR="00EA5B65" w:rsidRPr="005A2D01" w:rsidRDefault="00AC1EF6" w:rsidP="0069428B">
            <w:pPr>
              <w:pStyle w:val="a5"/>
              <w:autoSpaceDE w:val="0"/>
              <w:autoSpaceDN w:val="0"/>
              <w:adjustRightInd w:val="0"/>
              <w:snapToGrid w:val="0"/>
              <w:spacing w:line="276" w:lineRule="auto"/>
              <w:ind w:leftChars="0" w:left="200" w:hangingChars="100" w:hanging="200"/>
              <w:jc w:val="left"/>
              <w:rPr>
                <w:rFonts w:asciiTheme="majorEastAsia" w:hAnsiTheme="majorEastAsia"/>
                <w:sz w:val="20"/>
                <w:szCs w:val="20"/>
              </w:rPr>
            </w:pPr>
            <w:r w:rsidRPr="005A2D01">
              <w:rPr>
                <w:rFonts w:asciiTheme="majorEastAsia" w:hAnsiTheme="majorEastAsia" w:hint="eastAsia"/>
                <w:sz w:val="20"/>
                <w:szCs w:val="20"/>
              </w:rPr>
              <w:t xml:space="preserve">　（※）自治体によっては押印が必要な場合があります。</w:t>
            </w:r>
          </w:p>
          <w:p w14:paraId="364D1389" w14:textId="77777777" w:rsidR="00B4051D" w:rsidRPr="005A2D01" w:rsidRDefault="00C902A1" w:rsidP="0069428B">
            <w:pPr>
              <w:pStyle w:val="a5"/>
              <w:autoSpaceDE w:val="0"/>
              <w:autoSpaceDN w:val="0"/>
              <w:adjustRightInd w:val="0"/>
              <w:snapToGrid w:val="0"/>
              <w:spacing w:line="276" w:lineRule="auto"/>
              <w:ind w:leftChars="0" w:left="220" w:hangingChars="100" w:hanging="220"/>
              <w:jc w:val="left"/>
              <w:rPr>
                <w:rFonts w:asciiTheme="majorEastAsia" w:hAnsiTheme="majorEastAsia"/>
                <w:sz w:val="20"/>
                <w:szCs w:val="20"/>
              </w:rPr>
            </w:pPr>
            <w:r w:rsidRPr="005A2D01">
              <w:rPr>
                <w:rFonts w:asciiTheme="majorEastAsia" w:hAnsiTheme="majorEastAsia" w:hint="eastAsia"/>
                <w:sz w:val="22"/>
                <w:szCs w:val="20"/>
              </w:rPr>
              <w:t>３</w:t>
            </w:r>
            <w:r w:rsidR="00E434CF" w:rsidRPr="005A2D01">
              <w:rPr>
                <w:rFonts w:asciiTheme="majorEastAsia" w:hAnsiTheme="majorEastAsia" w:hint="eastAsia"/>
                <w:sz w:val="20"/>
                <w:szCs w:val="20"/>
              </w:rPr>
              <w:t xml:space="preserve">　公売財産の買受人について、一定の資格その他の要件を必要とする場合があります。各執行機関の公告等で確認してください。</w:t>
            </w:r>
          </w:p>
        </w:tc>
      </w:tr>
      <w:tr w:rsidR="005A2D01" w:rsidRPr="005A2D01" w14:paraId="7772BB0B" w14:textId="77777777" w:rsidTr="0069428B">
        <w:trPr>
          <w:trHeight w:val="2381"/>
        </w:trPr>
        <w:tc>
          <w:tcPr>
            <w:tcW w:w="1843" w:type="dxa"/>
            <w:vAlign w:val="center"/>
          </w:tcPr>
          <w:p w14:paraId="1EF95415" w14:textId="77777777" w:rsidR="00E434CF" w:rsidRPr="005A2D01" w:rsidRDefault="00E434CF" w:rsidP="0069428B">
            <w:pPr>
              <w:adjustRightInd w:val="0"/>
              <w:snapToGrid w:val="0"/>
              <w:jc w:val="center"/>
              <w:rPr>
                <w:rFonts w:asciiTheme="majorEastAsia" w:hAnsiTheme="majorEastAsia"/>
                <w:kern w:val="0"/>
                <w:sz w:val="22"/>
              </w:rPr>
            </w:pPr>
            <w:r w:rsidRPr="005A2D01">
              <w:rPr>
                <w:rFonts w:asciiTheme="majorEastAsia" w:hAnsiTheme="majorEastAsia" w:hint="eastAsia"/>
                <w:spacing w:val="46"/>
                <w:kern w:val="0"/>
                <w:sz w:val="22"/>
                <w:fitText w:val="1470" w:id="1775405569"/>
              </w:rPr>
              <w:t>公売保証</w:t>
            </w:r>
            <w:r w:rsidRPr="005A2D01">
              <w:rPr>
                <w:rFonts w:asciiTheme="majorEastAsia" w:hAnsiTheme="majorEastAsia" w:hint="eastAsia"/>
                <w:spacing w:val="1"/>
                <w:kern w:val="0"/>
                <w:sz w:val="22"/>
                <w:fitText w:val="1470" w:id="1775405569"/>
              </w:rPr>
              <w:t>金</w:t>
            </w:r>
          </w:p>
        </w:tc>
        <w:tc>
          <w:tcPr>
            <w:tcW w:w="7796" w:type="dxa"/>
            <w:vAlign w:val="center"/>
          </w:tcPr>
          <w:p w14:paraId="5E1B6B1D" w14:textId="77777777" w:rsidR="00E434CF" w:rsidRPr="005A2D01" w:rsidRDefault="00E434CF" w:rsidP="0069428B">
            <w:pPr>
              <w:autoSpaceDE w:val="0"/>
              <w:autoSpaceDN w:val="0"/>
              <w:adjustRightInd w:val="0"/>
              <w:snapToGrid w:val="0"/>
              <w:spacing w:line="360" w:lineRule="exact"/>
              <w:jc w:val="left"/>
              <w:rPr>
                <w:rFonts w:asciiTheme="majorEastAsia" w:hAnsiTheme="majorEastAsia"/>
                <w:sz w:val="20"/>
              </w:rPr>
            </w:pPr>
            <w:r w:rsidRPr="005A2D01">
              <w:rPr>
                <w:rFonts w:asciiTheme="majorEastAsia" w:hAnsiTheme="majorEastAsia" w:hint="eastAsia"/>
                <w:sz w:val="22"/>
              </w:rPr>
              <w:t>１</w:t>
            </w:r>
            <w:r w:rsidRPr="005A2D01">
              <w:rPr>
                <w:rFonts w:asciiTheme="majorEastAsia" w:hAnsiTheme="majorEastAsia" w:hint="eastAsia"/>
                <w:sz w:val="20"/>
              </w:rPr>
              <w:t xml:space="preserve">　公売保証金を提供した後でなければ入札できません。</w:t>
            </w:r>
          </w:p>
          <w:p w14:paraId="5CE92E4C" w14:textId="77777777" w:rsidR="00D226CE" w:rsidRPr="005A2D01" w:rsidRDefault="00E434CF" w:rsidP="0069428B">
            <w:pPr>
              <w:autoSpaceDE w:val="0"/>
              <w:autoSpaceDN w:val="0"/>
              <w:adjustRightInd w:val="0"/>
              <w:snapToGrid w:val="0"/>
              <w:spacing w:line="360" w:lineRule="exact"/>
              <w:ind w:left="200" w:hangingChars="100" w:hanging="200"/>
              <w:jc w:val="left"/>
              <w:rPr>
                <w:rFonts w:asciiTheme="majorEastAsia" w:hAnsiTheme="majorEastAsia"/>
                <w:sz w:val="20"/>
              </w:rPr>
            </w:pPr>
            <w:r w:rsidRPr="005A2D01">
              <w:rPr>
                <w:rFonts w:asciiTheme="majorEastAsia" w:hAnsiTheme="majorEastAsia" w:hint="eastAsia"/>
                <w:sz w:val="20"/>
              </w:rPr>
              <w:t xml:space="preserve">　　なお、公売保証金の金額について</w:t>
            </w:r>
            <w:r w:rsidRPr="00F84131">
              <w:rPr>
                <w:rFonts w:asciiTheme="majorEastAsia" w:hAnsiTheme="majorEastAsia" w:hint="eastAsia"/>
                <w:sz w:val="20"/>
              </w:rPr>
              <w:t>は「</w:t>
            </w:r>
            <w:r w:rsidR="0053320F" w:rsidRPr="00F84131">
              <w:rPr>
                <w:rFonts w:asciiTheme="majorEastAsia" w:hAnsiTheme="majorEastAsia" w:hint="eastAsia"/>
                <w:sz w:val="20"/>
              </w:rPr>
              <w:t>公売不動産</w:t>
            </w:r>
            <w:r w:rsidR="004C57F9" w:rsidRPr="00F84131">
              <w:rPr>
                <w:rFonts w:asciiTheme="majorEastAsia" w:hAnsiTheme="majorEastAsia" w:hint="eastAsia"/>
                <w:sz w:val="20"/>
              </w:rPr>
              <w:t>一覧</w:t>
            </w:r>
            <w:r w:rsidRPr="00F84131">
              <w:rPr>
                <w:rFonts w:asciiTheme="majorEastAsia" w:hAnsiTheme="majorEastAsia" w:hint="eastAsia"/>
                <w:sz w:val="20"/>
              </w:rPr>
              <w:t>」の「公売</w:t>
            </w:r>
            <w:r w:rsidRPr="005A2D01">
              <w:rPr>
                <w:rFonts w:asciiTheme="majorEastAsia" w:hAnsiTheme="majorEastAsia" w:hint="eastAsia"/>
                <w:sz w:val="20"/>
              </w:rPr>
              <w:t>保証金」の欄をご覧ください。</w:t>
            </w:r>
          </w:p>
          <w:p w14:paraId="78A1EFA0" w14:textId="77777777" w:rsidR="00E434CF" w:rsidRPr="005A2D01" w:rsidRDefault="00E434CF" w:rsidP="0069428B">
            <w:pPr>
              <w:autoSpaceDE w:val="0"/>
              <w:autoSpaceDN w:val="0"/>
              <w:adjustRightInd w:val="0"/>
              <w:snapToGrid w:val="0"/>
              <w:spacing w:line="360" w:lineRule="exact"/>
              <w:ind w:left="220" w:hangingChars="100" w:hanging="220"/>
              <w:jc w:val="left"/>
              <w:rPr>
                <w:rFonts w:asciiTheme="majorEastAsia" w:hAnsiTheme="majorEastAsia"/>
                <w:sz w:val="22"/>
              </w:rPr>
            </w:pPr>
            <w:r w:rsidRPr="005A2D01">
              <w:rPr>
                <w:rFonts w:asciiTheme="majorEastAsia" w:hAnsiTheme="majorEastAsia" w:hint="eastAsia"/>
                <w:sz w:val="22"/>
              </w:rPr>
              <w:t>２</w:t>
            </w:r>
            <w:r w:rsidRPr="005A2D01">
              <w:rPr>
                <w:rFonts w:asciiTheme="majorEastAsia" w:hAnsiTheme="majorEastAsia" w:hint="eastAsia"/>
                <w:sz w:val="20"/>
              </w:rPr>
              <w:t xml:space="preserve">　公売保証金は、現金又は銀行振出の小切手（</w:t>
            </w:r>
            <w:r w:rsidR="00A24BF1" w:rsidRPr="005A2D01">
              <w:rPr>
                <w:rFonts w:asciiTheme="majorEastAsia" w:hAnsiTheme="majorEastAsia" w:hint="eastAsia"/>
                <w:sz w:val="20"/>
              </w:rPr>
              <w:t>一般線引</w:t>
            </w:r>
            <w:r w:rsidR="00123E52" w:rsidRPr="005A2D01">
              <w:rPr>
                <w:rFonts w:asciiTheme="majorEastAsia" w:hAnsiTheme="majorEastAsia" w:hint="eastAsia"/>
                <w:sz w:val="20"/>
              </w:rPr>
              <w:t>小切手、</w:t>
            </w:r>
            <w:r w:rsidR="009017BE" w:rsidRPr="005A2D01">
              <w:rPr>
                <w:rFonts w:asciiTheme="majorEastAsia" w:hAnsiTheme="majorEastAsia" w:hint="eastAsia"/>
                <w:sz w:val="20"/>
              </w:rPr>
              <w:t>支払先は持参人払で</w:t>
            </w:r>
            <w:r w:rsidR="0068324E" w:rsidRPr="005A2D01">
              <w:rPr>
                <w:rFonts w:asciiTheme="majorEastAsia" w:hAnsiTheme="majorEastAsia" w:hint="eastAsia"/>
                <w:sz w:val="20"/>
              </w:rPr>
              <w:t>電子交換所</w:t>
            </w:r>
            <w:r w:rsidRPr="005A2D01">
              <w:rPr>
                <w:rFonts w:asciiTheme="majorEastAsia" w:hAnsiTheme="majorEastAsia" w:hint="eastAsia"/>
                <w:sz w:val="20"/>
              </w:rPr>
              <w:t>に参加し</w:t>
            </w:r>
            <w:r w:rsidR="009017BE" w:rsidRPr="005A2D01">
              <w:rPr>
                <w:rFonts w:asciiTheme="majorEastAsia" w:hAnsiTheme="majorEastAsia" w:hint="eastAsia"/>
                <w:sz w:val="20"/>
              </w:rPr>
              <w:t>て</w:t>
            </w:r>
            <w:r w:rsidR="002D7E1D" w:rsidRPr="005A2D01">
              <w:rPr>
                <w:rFonts w:asciiTheme="majorEastAsia" w:hAnsiTheme="majorEastAsia" w:hint="eastAsia"/>
                <w:sz w:val="20"/>
              </w:rPr>
              <w:t>いる銀行等が振出す</w:t>
            </w:r>
            <w:r w:rsidR="0068324E" w:rsidRPr="005A2D01">
              <w:rPr>
                <w:rFonts w:asciiTheme="majorEastAsia" w:hAnsiTheme="majorEastAsia" w:hint="eastAsia"/>
                <w:sz w:val="20"/>
              </w:rPr>
              <w:t>もの</w:t>
            </w:r>
            <w:r w:rsidRPr="005A2D01">
              <w:rPr>
                <w:rFonts w:asciiTheme="majorEastAsia" w:hAnsiTheme="majorEastAsia" w:hint="eastAsia"/>
                <w:sz w:val="20"/>
              </w:rPr>
              <w:t>に限る）で納付してください。</w:t>
            </w:r>
          </w:p>
        </w:tc>
      </w:tr>
      <w:tr w:rsidR="005A2D01" w:rsidRPr="005A2D01" w14:paraId="6A42231E" w14:textId="77777777" w:rsidTr="0069428B">
        <w:trPr>
          <w:trHeight w:val="3676"/>
        </w:trPr>
        <w:tc>
          <w:tcPr>
            <w:tcW w:w="1843" w:type="dxa"/>
            <w:vAlign w:val="center"/>
          </w:tcPr>
          <w:p w14:paraId="077E80D2" w14:textId="77777777" w:rsidR="00E434CF" w:rsidRPr="005A2D01" w:rsidRDefault="00E434CF" w:rsidP="0069428B">
            <w:pPr>
              <w:adjustRightInd w:val="0"/>
              <w:snapToGrid w:val="0"/>
              <w:ind w:left="330" w:hangingChars="25" w:hanging="330"/>
              <w:jc w:val="center"/>
              <w:rPr>
                <w:rFonts w:asciiTheme="majorEastAsia" w:hAnsiTheme="majorEastAsia"/>
                <w:sz w:val="22"/>
              </w:rPr>
            </w:pPr>
            <w:r w:rsidRPr="005A2D01">
              <w:rPr>
                <w:rFonts w:asciiTheme="majorEastAsia" w:hAnsiTheme="majorEastAsia" w:hint="eastAsia"/>
                <w:spacing w:val="550"/>
                <w:kern w:val="0"/>
                <w:sz w:val="22"/>
                <w:fitText w:val="1540" w:id="1775405570"/>
              </w:rPr>
              <w:t>入</w:t>
            </w:r>
            <w:r w:rsidRPr="005A2D01">
              <w:rPr>
                <w:rFonts w:asciiTheme="majorEastAsia" w:hAnsiTheme="majorEastAsia" w:hint="eastAsia"/>
                <w:kern w:val="0"/>
                <w:sz w:val="22"/>
                <w:fitText w:val="1540" w:id="1775405570"/>
              </w:rPr>
              <w:t>札</w:t>
            </w:r>
          </w:p>
        </w:tc>
        <w:tc>
          <w:tcPr>
            <w:tcW w:w="7796" w:type="dxa"/>
            <w:vAlign w:val="center"/>
          </w:tcPr>
          <w:p w14:paraId="1B20BA74" w14:textId="77777777" w:rsidR="00E434CF" w:rsidRPr="005A2D01" w:rsidRDefault="00E434CF" w:rsidP="0069428B">
            <w:pPr>
              <w:autoSpaceDE w:val="0"/>
              <w:autoSpaceDN w:val="0"/>
              <w:adjustRightInd w:val="0"/>
              <w:snapToGrid w:val="0"/>
              <w:spacing w:line="360" w:lineRule="exact"/>
              <w:ind w:left="220" w:hangingChars="100" w:hanging="220"/>
              <w:jc w:val="left"/>
              <w:rPr>
                <w:rFonts w:asciiTheme="majorEastAsia" w:hAnsiTheme="majorEastAsia"/>
                <w:sz w:val="20"/>
              </w:rPr>
            </w:pPr>
            <w:r w:rsidRPr="005A2D01">
              <w:rPr>
                <w:rFonts w:asciiTheme="majorEastAsia" w:hAnsiTheme="majorEastAsia" w:hint="eastAsia"/>
                <w:sz w:val="22"/>
              </w:rPr>
              <w:t xml:space="preserve">１　</w:t>
            </w:r>
            <w:r w:rsidRPr="005A2D01">
              <w:rPr>
                <w:rFonts w:asciiTheme="majorEastAsia" w:hAnsiTheme="majorEastAsia" w:hint="eastAsia"/>
                <w:sz w:val="20"/>
              </w:rPr>
              <w:t>入札書に記載する住所（所在地）及び氏名（名称）は、個人の場合は住民基本台帳に記載されている住所地及び氏名を、法人の場合は、商業登記上の本店所在地及び名称（商号）を記載してください。</w:t>
            </w:r>
          </w:p>
          <w:p w14:paraId="519DB687" w14:textId="77777777" w:rsidR="00E434CF" w:rsidRPr="005A2D01" w:rsidRDefault="00E434CF" w:rsidP="0069428B">
            <w:pPr>
              <w:autoSpaceDE w:val="0"/>
              <w:autoSpaceDN w:val="0"/>
              <w:adjustRightInd w:val="0"/>
              <w:snapToGrid w:val="0"/>
              <w:spacing w:line="360" w:lineRule="exact"/>
              <w:jc w:val="left"/>
              <w:rPr>
                <w:rFonts w:asciiTheme="majorEastAsia" w:hAnsiTheme="majorEastAsia"/>
                <w:b/>
                <w:sz w:val="20"/>
                <w:u w:val="single"/>
              </w:rPr>
            </w:pPr>
            <w:r w:rsidRPr="005A2D01">
              <w:rPr>
                <w:rFonts w:asciiTheme="majorEastAsia" w:hAnsiTheme="majorEastAsia" w:hint="eastAsia"/>
                <w:b/>
                <w:sz w:val="20"/>
              </w:rPr>
              <w:t xml:space="preserve">　　</w:t>
            </w:r>
            <w:r w:rsidRPr="005A2D01">
              <w:rPr>
                <w:rFonts w:asciiTheme="majorEastAsia" w:hAnsiTheme="majorEastAsia" w:hint="eastAsia"/>
                <w:b/>
                <w:sz w:val="20"/>
                <w:u w:val="single"/>
              </w:rPr>
              <w:t>なお、本人確認書類については事前に各執行機関に確認してください。</w:t>
            </w:r>
          </w:p>
          <w:p w14:paraId="2A703056" w14:textId="77777777" w:rsidR="00E434CF" w:rsidRPr="005A2D01" w:rsidRDefault="00E434CF" w:rsidP="0069428B">
            <w:pPr>
              <w:autoSpaceDE w:val="0"/>
              <w:autoSpaceDN w:val="0"/>
              <w:adjustRightInd w:val="0"/>
              <w:snapToGrid w:val="0"/>
              <w:spacing w:line="360" w:lineRule="exact"/>
              <w:ind w:left="220" w:hangingChars="100" w:hanging="220"/>
              <w:jc w:val="left"/>
              <w:rPr>
                <w:rFonts w:asciiTheme="majorEastAsia" w:hAnsiTheme="majorEastAsia"/>
                <w:sz w:val="20"/>
              </w:rPr>
            </w:pPr>
            <w:r w:rsidRPr="005A2D01">
              <w:rPr>
                <w:rFonts w:asciiTheme="majorEastAsia" w:hAnsiTheme="majorEastAsia" w:hint="eastAsia"/>
                <w:sz w:val="22"/>
              </w:rPr>
              <w:t xml:space="preserve">２　</w:t>
            </w:r>
            <w:r w:rsidRPr="005A2D01">
              <w:rPr>
                <w:rFonts w:asciiTheme="majorEastAsia" w:hAnsiTheme="majorEastAsia" w:hint="eastAsia"/>
                <w:sz w:val="20"/>
              </w:rPr>
              <w:t>金額を訂正した入札書は無効となりますので、記載事項に誤りがある場合には新しい入札書を使用してください。</w:t>
            </w:r>
          </w:p>
          <w:p w14:paraId="2CFB1E2C" w14:textId="77777777" w:rsidR="00E434CF" w:rsidRPr="005A2D01" w:rsidRDefault="00E434CF" w:rsidP="0069428B">
            <w:pPr>
              <w:autoSpaceDE w:val="0"/>
              <w:autoSpaceDN w:val="0"/>
              <w:adjustRightInd w:val="0"/>
              <w:snapToGrid w:val="0"/>
              <w:spacing w:line="360" w:lineRule="exact"/>
              <w:ind w:left="200" w:hangingChars="100" w:hanging="200"/>
              <w:jc w:val="left"/>
              <w:rPr>
                <w:rFonts w:asciiTheme="majorEastAsia" w:hAnsiTheme="majorEastAsia"/>
                <w:sz w:val="20"/>
              </w:rPr>
            </w:pPr>
            <w:r w:rsidRPr="005A2D01">
              <w:rPr>
                <w:rFonts w:asciiTheme="majorEastAsia" w:hAnsiTheme="majorEastAsia" w:hint="eastAsia"/>
                <w:sz w:val="20"/>
              </w:rPr>
              <w:t xml:space="preserve">　　なお、同一人が同一の売却区分番号について２枚以上の入札書を提出すると、その入札書はいずれも無効となります。</w:t>
            </w:r>
          </w:p>
          <w:p w14:paraId="38C14A0A" w14:textId="77777777" w:rsidR="00E434CF" w:rsidRPr="005A2D01" w:rsidRDefault="00E434CF" w:rsidP="0069428B">
            <w:pPr>
              <w:autoSpaceDE w:val="0"/>
              <w:autoSpaceDN w:val="0"/>
              <w:adjustRightInd w:val="0"/>
              <w:snapToGrid w:val="0"/>
              <w:spacing w:line="360" w:lineRule="exact"/>
              <w:ind w:left="220" w:hangingChars="100" w:hanging="220"/>
              <w:jc w:val="left"/>
              <w:rPr>
                <w:rFonts w:asciiTheme="majorEastAsia" w:hAnsiTheme="majorEastAsia"/>
                <w:sz w:val="20"/>
              </w:rPr>
            </w:pPr>
            <w:r w:rsidRPr="005A2D01">
              <w:rPr>
                <w:rFonts w:asciiTheme="majorEastAsia" w:hAnsiTheme="majorEastAsia" w:hint="eastAsia"/>
                <w:sz w:val="22"/>
              </w:rPr>
              <w:t xml:space="preserve">３　</w:t>
            </w:r>
            <w:r w:rsidRPr="005A2D01">
              <w:rPr>
                <w:rFonts w:asciiTheme="majorEastAsia" w:hAnsiTheme="majorEastAsia" w:hint="eastAsia"/>
                <w:sz w:val="20"/>
              </w:rPr>
              <w:t>一度提出した入札書は、入札時間内であっても、引換え、変更又は取消しをすることができません。</w:t>
            </w:r>
          </w:p>
        </w:tc>
      </w:tr>
      <w:tr w:rsidR="005A2D01" w:rsidRPr="005A2D01" w14:paraId="1FC32090" w14:textId="77777777" w:rsidTr="0069428B">
        <w:trPr>
          <w:trHeight w:val="1304"/>
        </w:trPr>
        <w:tc>
          <w:tcPr>
            <w:tcW w:w="1843" w:type="dxa"/>
            <w:vAlign w:val="center"/>
          </w:tcPr>
          <w:p w14:paraId="064A2CAA" w14:textId="77777777" w:rsidR="00E434CF" w:rsidRPr="005A2D01" w:rsidRDefault="00E434CF" w:rsidP="0069428B">
            <w:pPr>
              <w:adjustRightInd w:val="0"/>
              <w:snapToGrid w:val="0"/>
              <w:ind w:left="150" w:hangingChars="12" w:hanging="150"/>
              <w:jc w:val="center"/>
              <w:rPr>
                <w:rFonts w:asciiTheme="majorEastAsia" w:hAnsiTheme="majorEastAsia"/>
                <w:sz w:val="22"/>
              </w:rPr>
            </w:pPr>
            <w:r w:rsidRPr="005A2D01">
              <w:rPr>
                <w:rFonts w:asciiTheme="majorEastAsia" w:hAnsiTheme="majorEastAsia" w:hint="eastAsia"/>
                <w:spacing w:val="515"/>
                <w:kern w:val="0"/>
                <w:sz w:val="22"/>
                <w:fitText w:val="1470" w:id="1775405571"/>
              </w:rPr>
              <w:lastRenderedPageBreak/>
              <w:t>開</w:t>
            </w:r>
            <w:r w:rsidRPr="005A2D01">
              <w:rPr>
                <w:rFonts w:asciiTheme="majorEastAsia" w:hAnsiTheme="majorEastAsia" w:hint="eastAsia"/>
                <w:kern w:val="0"/>
                <w:sz w:val="22"/>
                <w:fitText w:val="1470" w:id="1775405571"/>
              </w:rPr>
              <w:t>札</w:t>
            </w:r>
          </w:p>
        </w:tc>
        <w:tc>
          <w:tcPr>
            <w:tcW w:w="7796" w:type="dxa"/>
            <w:vAlign w:val="center"/>
          </w:tcPr>
          <w:p w14:paraId="66A02569" w14:textId="77777777" w:rsidR="00E434CF" w:rsidRPr="005A2D01" w:rsidRDefault="00E434CF" w:rsidP="0069428B">
            <w:pPr>
              <w:adjustRightInd w:val="0"/>
              <w:snapToGrid w:val="0"/>
              <w:spacing w:line="360" w:lineRule="exact"/>
              <w:rPr>
                <w:rFonts w:asciiTheme="majorEastAsia" w:hAnsiTheme="majorEastAsia"/>
                <w:sz w:val="20"/>
              </w:rPr>
            </w:pPr>
            <w:r w:rsidRPr="005A2D01">
              <w:rPr>
                <w:rFonts w:asciiTheme="majorEastAsia" w:hAnsiTheme="majorEastAsia" w:hint="eastAsia"/>
                <w:sz w:val="22"/>
              </w:rPr>
              <w:t xml:space="preserve">　　</w:t>
            </w:r>
            <w:r w:rsidRPr="005A2D01">
              <w:rPr>
                <w:rFonts w:asciiTheme="majorEastAsia" w:hAnsiTheme="majorEastAsia" w:hint="eastAsia"/>
                <w:sz w:val="20"/>
              </w:rPr>
              <w:t>入札書は、入札者の立会いのもとで開札します。</w:t>
            </w:r>
          </w:p>
          <w:p w14:paraId="28C81B11" w14:textId="77777777" w:rsidR="00E434CF" w:rsidRPr="005A2D01" w:rsidRDefault="00E434CF" w:rsidP="0069428B">
            <w:pPr>
              <w:adjustRightInd w:val="0"/>
              <w:snapToGrid w:val="0"/>
              <w:spacing w:line="360" w:lineRule="exact"/>
              <w:ind w:left="200" w:hangingChars="100" w:hanging="200"/>
              <w:rPr>
                <w:rFonts w:asciiTheme="majorEastAsia" w:hAnsiTheme="majorEastAsia"/>
                <w:sz w:val="20"/>
              </w:rPr>
            </w:pPr>
            <w:r w:rsidRPr="005A2D01">
              <w:rPr>
                <w:rFonts w:asciiTheme="majorEastAsia" w:hAnsiTheme="majorEastAsia" w:hint="eastAsia"/>
                <w:sz w:val="20"/>
              </w:rPr>
              <w:t xml:space="preserve">　　ただし、入札者又はその代理人が開札の場所に出席しないときは、職員立会いのもとで開札します。</w:t>
            </w:r>
          </w:p>
        </w:tc>
      </w:tr>
      <w:tr w:rsidR="005A2D01" w:rsidRPr="005A2D01" w14:paraId="492FF55C" w14:textId="77777777" w:rsidTr="0069428B">
        <w:trPr>
          <w:trHeight w:val="3855"/>
        </w:trPr>
        <w:tc>
          <w:tcPr>
            <w:tcW w:w="1843" w:type="dxa"/>
            <w:vAlign w:val="center"/>
          </w:tcPr>
          <w:p w14:paraId="1BC4EF6F" w14:textId="77777777" w:rsidR="00E434CF" w:rsidRPr="005A2D01" w:rsidRDefault="00E434CF" w:rsidP="0069428B">
            <w:pPr>
              <w:adjustRightInd w:val="0"/>
              <w:snapToGrid w:val="0"/>
              <w:rPr>
                <w:rFonts w:asciiTheme="majorEastAsia" w:hAnsiTheme="majorEastAsia"/>
                <w:sz w:val="22"/>
              </w:rPr>
            </w:pPr>
            <w:r w:rsidRPr="005A2D01">
              <w:rPr>
                <w:rFonts w:asciiTheme="majorEastAsia" w:hAnsiTheme="majorEastAsia" w:hint="eastAsia"/>
                <w:kern w:val="0"/>
                <w:sz w:val="22"/>
              </w:rPr>
              <w:t xml:space="preserve">最高価申込者の　　　</w:t>
            </w:r>
            <w:r w:rsidRPr="005A2D01">
              <w:rPr>
                <w:rFonts w:asciiTheme="majorEastAsia" w:hAnsiTheme="majorEastAsia" w:hint="eastAsia"/>
                <w:spacing w:val="550"/>
                <w:kern w:val="0"/>
                <w:sz w:val="22"/>
                <w:fitText w:val="1540" w:id="1775405572"/>
              </w:rPr>
              <w:t>決</w:t>
            </w:r>
            <w:r w:rsidRPr="005A2D01">
              <w:rPr>
                <w:rFonts w:asciiTheme="majorEastAsia" w:hAnsiTheme="majorEastAsia" w:hint="eastAsia"/>
                <w:kern w:val="0"/>
                <w:sz w:val="22"/>
                <w:fitText w:val="1540" w:id="1775405572"/>
              </w:rPr>
              <w:t>定</w:t>
            </w:r>
          </w:p>
        </w:tc>
        <w:tc>
          <w:tcPr>
            <w:tcW w:w="7796" w:type="dxa"/>
            <w:vAlign w:val="center"/>
          </w:tcPr>
          <w:p w14:paraId="6D2234DC" w14:textId="77777777" w:rsidR="00E434CF" w:rsidRPr="005A2D01" w:rsidRDefault="00E434CF"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１</w:t>
            </w:r>
            <w:r w:rsidRPr="005A2D01">
              <w:rPr>
                <w:rFonts w:asciiTheme="majorEastAsia" w:hAnsiTheme="majorEastAsia" w:hint="eastAsia"/>
                <w:sz w:val="20"/>
              </w:rPr>
              <w:t xml:space="preserve">　入札価額が見積価額以上で、かつ最高価額の入札者を最高価申込者（落札者）とします。</w:t>
            </w:r>
          </w:p>
          <w:p w14:paraId="5452DD52" w14:textId="77777777" w:rsidR="00E434CF" w:rsidRPr="005A2D01" w:rsidRDefault="00E434CF"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２　</w:t>
            </w:r>
            <w:r w:rsidRPr="005A2D01">
              <w:rPr>
                <w:rFonts w:asciiTheme="majorEastAsia" w:hAnsiTheme="majorEastAsia" w:hint="eastAsia"/>
                <w:sz w:val="20"/>
              </w:rPr>
              <w:t>開札の結果、最高価額による入札者が２人以上ある場合（同額である場合）は、これらの者の間で追加入札を行い、追加入札の最高価額がなお同額であるときは、くじで最高価申込者を決定します。</w:t>
            </w:r>
          </w:p>
          <w:p w14:paraId="0A01874E" w14:textId="77777777" w:rsidR="00E434CF" w:rsidRPr="005A2D01" w:rsidRDefault="00E434CF" w:rsidP="0069428B">
            <w:pPr>
              <w:pStyle w:val="a5"/>
              <w:autoSpaceDE w:val="0"/>
              <w:autoSpaceDN w:val="0"/>
              <w:adjustRightInd w:val="0"/>
              <w:snapToGrid w:val="0"/>
              <w:spacing w:line="360" w:lineRule="exact"/>
              <w:ind w:leftChars="0" w:left="0"/>
              <w:jc w:val="left"/>
              <w:rPr>
                <w:rFonts w:asciiTheme="majorEastAsia" w:hAnsiTheme="majorEastAsia"/>
                <w:sz w:val="20"/>
              </w:rPr>
            </w:pPr>
            <w:r w:rsidRPr="005A2D01">
              <w:rPr>
                <w:rFonts w:asciiTheme="majorEastAsia" w:hAnsiTheme="majorEastAsia" w:hint="eastAsia"/>
                <w:sz w:val="20"/>
              </w:rPr>
              <w:t xml:space="preserve">　　なお、追加入札の価額は、当初の入札価額以上であることが必要です。</w:t>
            </w:r>
          </w:p>
          <w:p w14:paraId="77B0801E" w14:textId="77777777" w:rsidR="00E434CF" w:rsidRPr="005A2D01" w:rsidRDefault="00E434CF" w:rsidP="0069428B">
            <w:pPr>
              <w:pStyle w:val="a5"/>
              <w:autoSpaceDE w:val="0"/>
              <w:autoSpaceDN w:val="0"/>
              <w:adjustRightInd w:val="0"/>
              <w:snapToGrid w:val="0"/>
              <w:spacing w:line="360" w:lineRule="exact"/>
              <w:ind w:leftChars="0" w:left="200" w:hangingChars="100" w:hanging="200"/>
              <w:jc w:val="left"/>
              <w:rPr>
                <w:rFonts w:asciiTheme="majorEastAsia" w:hAnsiTheme="majorEastAsia"/>
                <w:sz w:val="20"/>
              </w:rPr>
            </w:pPr>
            <w:r w:rsidRPr="005A2D01">
              <w:rPr>
                <w:rFonts w:asciiTheme="majorEastAsia" w:hAnsiTheme="majorEastAsia" w:hint="eastAsia"/>
                <w:sz w:val="20"/>
              </w:rPr>
              <w:t xml:space="preserve">　　当初の入札価額に満たない価額で追加入札をしたとき、又は追加入札をすべき者が入札しなかったときは、国税徴収法第108条の規定により公売場所への入場、入札等を制限することがありますので留意してください。</w:t>
            </w:r>
          </w:p>
        </w:tc>
      </w:tr>
      <w:tr w:rsidR="005A2D01" w:rsidRPr="005A2D01" w14:paraId="1B44E479" w14:textId="77777777" w:rsidTr="0069428B">
        <w:trPr>
          <w:trHeight w:val="4881"/>
        </w:trPr>
        <w:tc>
          <w:tcPr>
            <w:tcW w:w="1843" w:type="dxa"/>
            <w:vAlign w:val="center"/>
          </w:tcPr>
          <w:p w14:paraId="4FE4AB01" w14:textId="77777777" w:rsidR="00E434CF" w:rsidRPr="005A2D01" w:rsidRDefault="00E434CF" w:rsidP="0069428B">
            <w:pPr>
              <w:adjustRightInd w:val="0"/>
              <w:snapToGrid w:val="0"/>
              <w:jc w:val="center"/>
              <w:rPr>
                <w:rFonts w:asciiTheme="majorEastAsia" w:hAnsiTheme="majorEastAsia"/>
                <w:kern w:val="0"/>
                <w:sz w:val="22"/>
              </w:rPr>
            </w:pPr>
            <w:r w:rsidRPr="005A2D01">
              <w:rPr>
                <w:rFonts w:asciiTheme="majorEastAsia" w:hAnsiTheme="majorEastAsia" w:hint="eastAsia"/>
                <w:spacing w:val="46"/>
                <w:kern w:val="0"/>
                <w:sz w:val="22"/>
                <w:fitText w:val="1470" w:id="1775405573"/>
              </w:rPr>
              <w:t>次順位買</w:t>
            </w:r>
            <w:r w:rsidRPr="005A2D01">
              <w:rPr>
                <w:rFonts w:asciiTheme="majorEastAsia" w:hAnsiTheme="majorEastAsia" w:hint="eastAsia"/>
                <w:spacing w:val="1"/>
                <w:kern w:val="0"/>
                <w:sz w:val="22"/>
                <w:fitText w:val="1470" w:id="1775405573"/>
              </w:rPr>
              <w:t>受</w:t>
            </w:r>
          </w:p>
          <w:p w14:paraId="12812460" w14:textId="77777777" w:rsidR="00E434CF" w:rsidRPr="005A2D01" w:rsidRDefault="00E434CF" w:rsidP="0069428B">
            <w:pPr>
              <w:adjustRightInd w:val="0"/>
              <w:snapToGrid w:val="0"/>
              <w:jc w:val="center"/>
              <w:rPr>
                <w:rFonts w:asciiTheme="majorEastAsia" w:hAnsiTheme="majorEastAsia"/>
                <w:sz w:val="22"/>
              </w:rPr>
            </w:pPr>
            <w:r w:rsidRPr="005A2D01">
              <w:rPr>
                <w:rFonts w:asciiTheme="majorEastAsia" w:hAnsiTheme="majorEastAsia" w:hint="eastAsia"/>
                <w:spacing w:val="15"/>
                <w:kern w:val="0"/>
                <w:sz w:val="22"/>
                <w:fitText w:val="1470" w:id="1775405574"/>
              </w:rPr>
              <w:t>申込者の決</w:t>
            </w:r>
            <w:r w:rsidRPr="005A2D01">
              <w:rPr>
                <w:rFonts w:asciiTheme="majorEastAsia" w:hAnsiTheme="majorEastAsia" w:hint="eastAsia"/>
                <w:kern w:val="0"/>
                <w:sz w:val="22"/>
                <w:fitText w:val="1470" w:id="1775405574"/>
              </w:rPr>
              <w:t>定</w:t>
            </w:r>
          </w:p>
        </w:tc>
        <w:tc>
          <w:tcPr>
            <w:tcW w:w="7796" w:type="dxa"/>
            <w:vAlign w:val="center"/>
          </w:tcPr>
          <w:p w14:paraId="7F5D36A3" w14:textId="77777777" w:rsidR="00E434CF" w:rsidRPr="005A2D01" w:rsidRDefault="00E434CF"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１　</w:t>
            </w:r>
            <w:r w:rsidRPr="005A2D01">
              <w:rPr>
                <w:rFonts w:asciiTheme="majorEastAsia" w:hAnsiTheme="majorEastAsia" w:hint="eastAsia"/>
                <w:sz w:val="20"/>
              </w:rPr>
              <w:t>今回の公売は、次順位買受申込者の制度（国税徴収法第104</w:t>
            </w:r>
            <w:r w:rsidR="008D3AEE" w:rsidRPr="005A2D01">
              <w:rPr>
                <w:rFonts w:asciiTheme="majorEastAsia" w:hAnsiTheme="majorEastAsia" w:hint="eastAsia"/>
                <w:sz w:val="20"/>
              </w:rPr>
              <w:t>条の２参</w:t>
            </w:r>
            <w:r w:rsidRPr="005A2D01">
              <w:rPr>
                <w:rFonts w:asciiTheme="majorEastAsia" w:hAnsiTheme="majorEastAsia" w:hint="eastAsia"/>
                <w:sz w:val="20"/>
              </w:rPr>
              <w:t>照）を利用することができます。</w:t>
            </w:r>
          </w:p>
          <w:p w14:paraId="3605FB29" w14:textId="77777777" w:rsidR="00E434CF" w:rsidRPr="005A2D01" w:rsidRDefault="00E434CF"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２　</w:t>
            </w:r>
            <w:r w:rsidRPr="005A2D01">
              <w:rPr>
                <w:rFonts w:asciiTheme="majorEastAsia" w:hAnsiTheme="majorEastAsia" w:hint="eastAsia"/>
                <w:sz w:val="20"/>
              </w:rPr>
              <w:t>最高価申込者の入札価額に次ぐ価額（見積価額以上で、かつ、最高の入札価額から公売保証金の額を控除した金額以上である場合に限ります。）で入札した者から次順位による買受けの申込みがあるときは、その入札者を次順位買受申込者とします。</w:t>
            </w:r>
          </w:p>
          <w:p w14:paraId="1E8115C2" w14:textId="77777777" w:rsidR="00E434CF" w:rsidRPr="005A2D01" w:rsidRDefault="00E434CF"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　　</w:t>
            </w:r>
            <w:r w:rsidRPr="005A2D01">
              <w:rPr>
                <w:rFonts w:asciiTheme="majorEastAsia" w:hAnsiTheme="majorEastAsia" w:hint="eastAsia"/>
                <w:sz w:val="20"/>
              </w:rPr>
              <w:t>なお、次順位による買受申込者が２人以上ある場合には、くじで次順位買受申込者を決定します。</w:t>
            </w:r>
          </w:p>
          <w:p w14:paraId="592C805A" w14:textId="77777777" w:rsidR="00E434CF" w:rsidRPr="005A2D01" w:rsidRDefault="00E434CF"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３　</w:t>
            </w:r>
            <w:r w:rsidRPr="005A2D01">
              <w:rPr>
                <w:rFonts w:asciiTheme="majorEastAsia" w:hAnsiTheme="majorEastAsia" w:hint="eastAsia"/>
                <w:sz w:val="20"/>
              </w:rPr>
              <w:t>次順位買受申込者の決定を受けた入札者は、最高価申込者が買受けの申込みを取り消した場合（「買受申込み等の取消し」の項参照）又は最高価申込者に対する売却決定が取り消された場合等（「売却決定の取消し等」の項参照）に限り、公売財産を買い受けることができます。</w:t>
            </w:r>
          </w:p>
        </w:tc>
      </w:tr>
      <w:tr w:rsidR="005A2D01" w:rsidRPr="005A2D01" w14:paraId="4A7DB9FD" w14:textId="77777777" w:rsidTr="0069428B">
        <w:trPr>
          <w:trHeight w:val="851"/>
        </w:trPr>
        <w:tc>
          <w:tcPr>
            <w:tcW w:w="1843" w:type="dxa"/>
            <w:vAlign w:val="center"/>
          </w:tcPr>
          <w:p w14:paraId="3CFDBF63" w14:textId="77777777" w:rsidR="00967E74" w:rsidRPr="005A2D01" w:rsidRDefault="00967E74" w:rsidP="0069428B">
            <w:pPr>
              <w:adjustRightInd w:val="0"/>
              <w:snapToGrid w:val="0"/>
              <w:ind w:left="179" w:hangingChars="43" w:hanging="179"/>
              <w:jc w:val="center"/>
              <w:rPr>
                <w:rFonts w:asciiTheme="majorEastAsia" w:hAnsiTheme="majorEastAsia"/>
                <w:sz w:val="22"/>
              </w:rPr>
            </w:pPr>
            <w:r w:rsidRPr="005A2D01">
              <w:rPr>
                <w:rFonts w:asciiTheme="majorEastAsia" w:hAnsiTheme="majorEastAsia" w:hint="eastAsia"/>
                <w:spacing w:val="98"/>
                <w:kern w:val="0"/>
                <w:sz w:val="22"/>
                <w:fitText w:val="1470" w:id="1775405575"/>
              </w:rPr>
              <w:t>再度入</w:t>
            </w:r>
            <w:r w:rsidRPr="005A2D01">
              <w:rPr>
                <w:rFonts w:asciiTheme="majorEastAsia" w:hAnsiTheme="majorEastAsia" w:hint="eastAsia"/>
                <w:spacing w:val="1"/>
                <w:kern w:val="0"/>
                <w:sz w:val="22"/>
                <w:fitText w:val="1470" w:id="1775405575"/>
              </w:rPr>
              <w:t>札</w:t>
            </w:r>
          </w:p>
        </w:tc>
        <w:tc>
          <w:tcPr>
            <w:tcW w:w="7796" w:type="dxa"/>
            <w:vAlign w:val="center"/>
          </w:tcPr>
          <w:p w14:paraId="6DA4131A" w14:textId="77777777" w:rsidR="00967E74" w:rsidRPr="005A2D01" w:rsidRDefault="00967E74" w:rsidP="0069428B">
            <w:pPr>
              <w:autoSpaceDE w:val="0"/>
              <w:autoSpaceDN w:val="0"/>
              <w:adjustRightInd w:val="0"/>
              <w:snapToGrid w:val="0"/>
              <w:spacing w:line="360" w:lineRule="exact"/>
              <w:ind w:left="220" w:hangingChars="100" w:hanging="220"/>
              <w:jc w:val="left"/>
              <w:rPr>
                <w:rFonts w:asciiTheme="majorEastAsia" w:hAnsiTheme="majorEastAsia"/>
                <w:sz w:val="20"/>
              </w:rPr>
            </w:pPr>
            <w:r w:rsidRPr="005A2D01">
              <w:rPr>
                <w:rFonts w:asciiTheme="majorEastAsia" w:hAnsiTheme="majorEastAsia" w:hint="eastAsia"/>
                <w:sz w:val="22"/>
              </w:rPr>
              <w:t xml:space="preserve">　　</w:t>
            </w:r>
            <w:r w:rsidRPr="005A2D01">
              <w:rPr>
                <w:rFonts w:asciiTheme="majorEastAsia" w:hAnsiTheme="majorEastAsia" w:hint="eastAsia"/>
                <w:sz w:val="20"/>
              </w:rPr>
              <w:t>開札の結果、入札者がいないとき、又は入札価額が見積価額に達しないときは、再度入札を行う場合があります。</w:t>
            </w:r>
          </w:p>
        </w:tc>
      </w:tr>
      <w:tr w:rsidR="005A2D01" w:rsidRPr="005A2D01" w14:paraId="1C3E83D0" w14:textId="77777777" w:rsidTr="0069428B">
        <w:trPr>
          <w:trHeight w:val="851"/>
        </w:trPr>
        <w:tc>
          <w:tcPr>
            <w:tcW w:w="1843" w:type="dxa"/>
            <w:vAlign w:val="center"/>
          </w:tcPr>
          <w:p w14:paraId="54550E54" w14:textId="77777777" w:rsidR="00BD4DB4" w:rsidRPr="005A2D01" w:rsidRDefault="00BD4DB4" w:rsidP="0069428B">
            <w:pPr>
              <w:adjustRightInd w:val="0"/>
              <w:snapToGrid w:val="0"/>
              <w:jc w:val="center"/>
              <w:rPr>
                <w:rFonts w:asciiTheme="majorEastAsia" w:hAnsiTheme="majorEastAsia"/>
                <w:kern w:val="0"/>
                <w:sz w:val="22"/>
              </w:rPr>
            </w:pPr>
            <w:r w:rsidRPr="005A2D01">
              <w:rPr>
                <w:rFonts w:asciiTheme="majorEastAsia" w:hAnsiTheme="majorEastAsia" w:hint="eastAsia"/>
                <w:spacing w:val="22"/>
                <w:kern w:val="0"/>
                <w:sz w:val="22"/>
                <w:fitText w:val="1540" w:id="1775429120"/>
              </w:rPr>
              <w:t>公売保証金</w:t>
            </w:r>
            <w:r w:rsidRPr="005A2D01">
              <w:rPr>
                <w:rFonts w:asciiTheme="majorEastAsia" w:hAnsiTheme="majorEastAsia" w:hint="eastAsia"/>
                <w:kern w:val="0"/>
                <w:sz w:val="22"/>
                <w:fitText w:val="1540" w:id="1775429120"/>
              </w:rPr>
              <w:t>の</w:t>
            </w:r>
          </w:p>
          <w:p w14:paraId="5E138A2D" w14:textId="77777777" w:rsidR="00BD4DB4" w:rsidRPr="005A2D01" w:rsidRDefault="00BD4DB4" w:rsidP="0069428B">
            <w:pPr>
              <w:adjustRightInd w:val="0"/>
              <w:snapToGrid w:val="0"/>
              <w:jc w:val="center"/>
              <w:rPr>
                <w:rFonts w:asciiTheme="majorEastAsia" w:hAnsiTheme="majorEastAsia"/>
                <w:sz w:val="22"/>
              </w:rPr>
            </w:pPr>
            <w:r w:rsidRPr="005A2D01">
              <w:rPr>
                <w:rFonts w:asciiTheme="majorEastAsia" w:hAnsiTheme="majorEastAsia" w:hint="eastAsia"/>
                <w:spacing w:val="550"/>
                <w:kern w:val="0"/>
                <w:sz w:val="22"/>
                <w:fitText w:val="1540" w:id="1775429376"/>
              </w:rPr>
              <w:t>返</w:t>
            </w:r>
            <w:r w:rsidRPr="005A2D01">
              <w:rPr>
                <w:rFonts w:asciiTheme="majorEastAsia" w:hAnsiTheme="majorEastAsia" w:hint="eastAsia"/>
                <w:kern w:val="0"/>
                <w:sz w:val="22"/>
                <w:fitText w:val="1540" w:id="1775429376"/>
              </w:rPr>
              <w:t>還</w:t>
            </w:r>
          </w:p>
        </w:tc>
        <w:tc>
          <w:tcPr>
            <w:tcW w:w="7796" w:type="dxa"/>
            <w:vAlign w:val="center"/>
          </w:tcPr>
          <w:p w14:paraId="2EA8BC23" w14:textId="77777777" w:rsidR="00BD4DB4" w:rsidRPr="005A2D01" w:rsidRDefault="00BD4DB4"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１　</w:t>
            </w:r>
            <w:r w:rsidRPr="005A2D01">
              <w:rPr>
                <w:rFonts w:asciiTheme="majorEastAsia" w:hAnsiTheme="majorEastAsia" w:hint="eastAsia"/>
                <w:sz w:val="20"/>
              </w:rPr>
              <w:t>最高価申込者及び次順位買受申込者以外の入札者が提供した公売保証金は、公売終了後に返還します。</w:t>
            </w:r>
          </w:p>
          <w:p w14:paraId="1A4651C0" w14:textId="77777777" w:rsidR="00BD4DB4" w:rsidRPr="005A2D01" w:rsidRDefault="00BD4DB4"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２</w:t>
            </w:r>
            <w:r w:rsidRPr="005A2D01">
              <w:rPr>
                <w:rFonts w:asciiTheme="majorEastAsia" w:hAnsiTheme="majorEastAsia" w:hint="eastAsia"/>
                <w:sz w:val="20"/>
              </w:rPr>
              <w:t xml:space="preserve">　公売保証金の返還に当たっては、公売保証金の金額が５万円以上で、返還を受ける者が営利法人又は個人営業者である場合は、受領書に200円の収入印紙が必要です。</w:t>
            </w:r>
          </w:p>
          <w:p w14:paraId="16BAEDB9" w14:textId="77777777" w:rsidR="00BD4DB4" w:rsidRPr="005A2D01" w:rsidRDefault="00BD4DB4"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３　</w:t>
            </w:r>
            <w:r w:rsidRPr="005A2D01">
              <w:rPr>
                <w:rFonts w:asciiTheme="majorEastAsia" w:hAnsiTheme="majorEastAsia" w:hint="eastAsia"/>
                <w:sz w:val="20"/>
              </w:rPr>
              <w:t>次順位買受申込者が提供した公売保証金は、最高価申込者が買受代金を納付した後（次順位買受申込者に対して売却決定をすることがないと確定した後）に返還します。</w:t>
            </w:r>
          </w:p>
        </w:tc>
      </w:tr>
      <w:tr w:rsidR="005A2D01" w:rsidRPr="005A2D01" w14:paraId="275FB35B" w14:textId="77777777" w:rsidTr="0069428B">
        <w:trPr>
          <w:trHeight w:val="2703"/>
        </w:trPr>
        <w:tc>
          <w:tcPr>
            <w:tcW w:w="1843" w:type="dxa"/>
            <w:vAlign w:val="center"/>
          </w:tcPr>
          <w:p w14:paraId="25537F7B" w14:textId="77777777" w:rsidR="00BD4DB4" w:rsidRPr="005A2D01" w:rsidRDefault="00BD4DB4" w:rsidP="0069428B">
            <w:pPr>
              <w:adjustRightInd w:val="0"/>
              <w:snapToGrid w:val="0"/>
              <w:jc w:val="center"/>
              <w:rPr>
                <w:rFonts w:asciiTheme="majorEastAsia" w:hAnsiTheme="majorEastAsia"/>
                <w:kern w:val="0"/>
                <w:sz w:val="22"/>
              </w:rPr>
            </w:pPr>
            <w:r w:rsidRPr="005A2D01">
              <w:rPr>
                <w:rFonts w:asciiTheme="majorEastAsia" w:hAnsiTheme="majorEastAsia" w:hint="eastAsia"/>
                <w:spacing w:val="1"/>
                <w:w w:val="87"/>
                <w:kern w:val="0"/>
                <w:sz w:val="22"/>
                <w:fitText w:val="1540" w:id="-1774522624"/>
              </w:rPr>
              <w:lastRenderedPageBreak/>
              <w:t>最高価申込者決</w:t>
            </w:r>
            <w:r w:rsidRPr="005A2D01">
              <w:rPr>
                <w:rFonts w:asciiTheme="majorEastAsia" w:hAnsiTheme="majorEastAsia" w:hint="eastAsia"/>
                <w:w w:val="87"/>
                <w:kern w:val="0"/>
                <w:sz w:val="22"/>
                <w:fitText w:val="1540" w:id="-1774522624"/>
              </w:rPr>
              <w:t>定</w:t>
            </w:r>
            <w:r w:rsidRPr="005A2D01">
              <w:rPr>
                <w:rFonts w:asciiTheme="majorEastAsia" w:hAnsiTheme="majorEastAsia" w:hint="eastAsia"/>
                <w:kern w:val="0"/>
                <w:sz w:val="22"/>
              </w:rPr>
              <w:t>または</w:t>
            </w:r>
          </w:p>
          <w:p w14:paraId="0F4E5F03" w14:textId="77777777" w:rsidR="00BD4DB4" w:rsidRPr="005A2D01" w:rsidRDefault="00BD4DB4" w:rsidP="0069428B">
            <w:pPr>
              <w:adjustRightInd w:val="0"/>
              <w:snapToGrid w:val="0"/>
              <w:jc w:val="center"/>
              <w:rPr>
                <w:rFonts w:asciiTheme="majorEastAsia" w:hAnsiTheme="majorEastAsia"/>
                <w:kern w:val="0"/>
                <w:sz w:val="22"/>
              </w:rPr>
            </w:pPr>
            <w:r w:rsidRPr="00D1621B">
              <w:rPr>
                <w:rFonts w:asciiTheme="majorEastAsia" w:hAnsiTheme="majorEastAsia" w:hint="eastAsia"/>
                <w:w w:val="70"/>
                <w:kern w:val="0"/>
                <w:sz w:val="22"/>
                <w:fitText w:val="1540" w:id="-1774522368"/>
              </w:rPr>
              <w:t>次順位買受申込者決定</w:t>
            </w:r>
            <w:r w:rsidRPr="005A2D01">
              <w:rPr>
                <w:rFonts w:asciiTheme="majorEastAsia" w:hAnsiTheme="majorEastAsia" w:hint="eastAsia"/>
                <w:kern w:val="0"/>
                <w:sz w:val="22"/>
              </w:rPr>
              <w:t>の取消し</w:t>
            </w:r>
          </w:p>
        </w:tc>
        <w:tc>
          <w:tcPr>
            <w:tcW w:w="7796" w:type="dxa"/>
            <w:vAlign w:val="center"/>
          </w:tcPr>
          <w:p w14:paraId="4C9FBAF3" w14:textId="77777777" w:rsidR="00EA5B65" w:rsidRPr="005A2D01" w:rsidRDefault="00BD4DB4"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１　</w:t>
            </w:r>
            <w:r w:rsidRPr="005A2D01">
              <w:rPr>
                <w:rFonts w:asciiTheme="majorEastAsia" w:hAnsiTheme="majorEastAsia" w:hint="eastAsia"/>
                <w:sz w:val="20"/>
              </w:rPr>
              <w:t>最高価申込者または次順位買受申込者の決定の前後に係わらず、売却決定日時までに、滞納者が滞納金額を完納したときは、その申込者の決定を取り消します。</w:t>
            </w:r>
          </w:p>
          <w:p w14:paraId="26D3D359" w14:textId="77777777" w:rsidR="00BD4DB4" w:rsidRPr="005A2D01" w:rsidRDefault="00BD4DB4"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2"/>
              </w:rPr>
            </w:pPr>
            <w:r w:rsidRPr="005A2D01">
              <w:rPr>
                <w:rFonts w:asciiTheme="majorEastAsia" w:hAnsiTheme="majorEastAsia" w:hint="eastAsia"/>
                <w:sz w:val="22"/>
              </w:rPr>
              <w:t xml:space="preserve">２　</w:t>
            </w:r>
            <w:r w:rsidRPr="005A2D01">
              <w:rPr>
                <w:rFonts w:asciiTheme="majorEastAsia" w:hAnsiTheme="majorEastAsia" w:hint="eastAsia"/>
                <w:sz w:val="20"/>
              </w:rPr>
              <w:t>最高価申込者または次順位買受申込者が暴力団員等である、または、法人でその役員のうちに暴力団員等に該当するものがあると認める場合は、国税徴収法第108条第５項の規定によりその申込者の決定を取り消します。</w:t>
            </w:r>
          </w:p>
        </w:tc>
      </w:tr>
      <w:tr w:rsidR="005A2D01" w:rsidRPr="005A2D01" w14:paraId="3BED0E8A" w14:textId="77777777" w:rsidTr="0069428B">
        <w:trPr>
          <w:trHeight w:val="2041"/>
        </w:trPr>
        <w:tc>
          <w:tcPr>
            <w:tcW w:w="1843" w:type="dxa"/>
            <w:vAlign w:val="center"/>
          </w:tcPr>
          <w:p w14:paraId="1D70827A" w14:textId="77777777" w:rsidR="00BD4DB4" w:rsidRPr="005A2D01" w:rsidRDefault="00BD4DB4" w:rsidP="0069428B">
            <w:pPr>
              <w:adjustRightInd w:val="0"/>
              <w:snapToGrid w:val="0"/>
              <w:jc w:val="center"/>
              <w:rPr>
                <w:rFonts w:asciiTheme="majorEastAsia" w:hAnsiTheme="majorEastAsia"/>
                <w:kern w:val="0"/>
                <w:sz w:val="22"/>
              </w:rPr>
            </w:pPr>
            <w:r w:rsidRPr="005A2D01">
              <w:rPr>
                <w:rFonts w:asciiTheme="majorEastAsia" w:hAnsiTheme="majorEastAsia" w:hint="eastAsia"/>
                <w:spacing w:val="22"/>
                <w:kern w:val="0"/>
                <w:sz w:val="22"/>
                <w:fitText w:val="1540" w:id="1775405576"/>
              </w:rPr>
              <w:t>買受申込み</w:t>
            </w:r>
            <w:r w:rsidRPr="005A2D01">
              <w:rPr>
                <w:rFonts w:asciiTheme="majorEastAsia" w:hAnsiTheme="majorEastAsia" w:hint="eastAsia"/>
                <w:kern w:val="0"/>
                <w:sz w:val="22"/>
                <w:fitText w:val="1540" w:id="1775405576"/>
              </w:rPr>
              <w:t>等</w:t>
            </w:r>
            <w:r w:rsidRPr="005A2D01">
              <w:rPr>
                <w:rFonts w:asciiTheme="majorEastAsia" w:hAnsiTheme="majorEastAsia" w:hint="eastAsia"/>
                <w:spacing w:val="110"/>
                <w:kern w:val="0"/>
                <w:sz w:val="22"/>
                <w:fitText w:val="1540" w:id="1775405577"/>
              </w:rPr>
              <w:t>の取消</w:t>
            </w:r>
            <w:r w:rsidRPr="005A2D01">
              <w:rPr>
                <w:rFonts w:asciiTheme="majorEastAsia" w:hAnsiTheme="majorEastAsia" w:hint="eastAsia"/>
                <w:kern w:val="0"/>
                <w:sz w:val="22"/>
                <w:fitText w:val="1540" w:id="1775405577"/>
              </w:rPr>
              <w:t>し</w:t>
            </w:r>
          </w:p>
        </w:tc>
        <w:tc>
          <w:tcPr>
            <w:tcW w:w="7796" w:type="dxa"/>
            <w:vAlign w:val="center"/>
          </w:tcPr>
          <w:p w14:paraId="004A42B0" w14:textId="77777777" w:rsidR="00BD4DB4" w:rsidRPr="005A2D01" w:rsidRDefault="00BD4DB4" w:rsidP="0069428B">
            <w:pPr>
              <w:autoSpaceDE w:val="0"/>
              <w:autoSpaceDN w:val="0"/>
              <w:adjustRightInd w:val="0"/>
              <w:snapToGrid w:val="0"/>
              <w:spacing w:line="360" w:lineRule="exact"/>
              <w:ind w:leftChars="100" w:left="210" w:firstLineChars="100" w:firstLine="200"/>
              <w:jc w:val="left"/>
              <w:rPr>
                <w:rFonts w:asciiTheme="majorEastAsia" w:hAnsiTheme="majorEastAsia"/>
                <w:sz w:val="20"/>
              </w:rPr>
            </w:pPr>
            <w:r w:rsidRPr="005A2D01">
              <w:rPr>
                <w:rFonts w:asciiTheme="majorEastAsia" w:hAnsiTheme="majorEastAsia" w:hint="eastAsia"/>
                <w:sz w:val="20"/>
              </w:rPr>
              <w:t>公売財産の換価について最高価申込者等の決定又は売却決定をした場合において、法律の規定に基づき滞納処分の続行の停止があったとき（地方税法第19条の7等参照）には、最高価申込者又は次順位買受申込者は、滞納処分の続行が停止している間は公売財産の買受申込みを取り消すことができます。</w:t>
            </w:r>
          </w:p>
        </w:tc>
      </w:tr>
      <w:tr w:rsidR="005A2D01" w:rsidRPr="005A2D01" w14:paraId="2CF42A9D" w14:textId="77777777" w:rsidTr="0069428B">
        <w:trPr>
          <w:trHeight w:val="1266"/>
        </w:trPr>
        <w:tc>
          <w:tcPr>
            <w:tcW w:w="1843" w:type="dxa"/>
            <w:vAlign w:val="center"/>
          </w:tcPr>
          <w:p w14:paraId="10538B3F" w14:textId="77777777" w:rsidR="00BD4DB4" w:rsidRPr="005A2D01" w:rsidRDefault="00BD4DB4" w:rsidP="0069428B">
            <w:pPr>
              <w:adjustRightInd w:val="0"/>
              <w:snapToGrid w:val="0"/>
              <w:ind w:left="175" w:hangingChars="42" w:hanging="175"/>
              <w:jc w:val="center"/>
              <w:rPr>
                <w:rFonts w:asciiTheme="majorEastAsia" w:hAnsiTheme="majorEastAsia"/>
                <w:sz w:val="22"/>
              </w:rPr>
            </w:pPr>
            <w:r w:rsidRPr="005A2D01">
              <w:rPr>
                <w:rFonts w:asciiTheme="majorEastAsia" w:hAnsiTheme="majorEastAsia" w:hint="eastAsia"/>
                <w:spacing w:val="98"/>
                <w:kern w:val="0"/>
                <w:sz w:val="22"/>
                <w:fitText w:val="1470" w:id="1775405578"/>
              </w:rPr>
              <w:t>売却決</w:t>
            </w:r>
            <w:r w:rsidRPr="005A2D01">
              <w:rPr>
                <w:rFonts w:asciiTheme="majorEastAsia" w:hAnsiTheme="majorEastAsia" w:hint="eastAsia"/>
                <w:spacing w:val="1"/>
                <w:kern w:val="0"/>
                <w:sz w:val="22"/>
                <w:fitText w:val="1470" w:id="1775405578"/>
              </w:rPr>
              <w:t>定</w:t>
            </w:r>
          </w:p>
        </w:tc>
        <w:tc>
          <w:tcPr>
            <w:tcW w:w="7796" w:type="dxa"/>
            <w:vAlign w:val="center"/>
          </w:tcPr>
          <w:p w14:paraId="701199D8" w14:textId="77777777" w:rsidR="00BD4DB4" w:rsidRPr="005A2D01" w:rsidRDefault="0017768C" w:rsidP="0069428B">
            <w:pPr>
              <w:autoSpaceDE w:val="0"/>
              <w:autoSpaceDN w:val="0"/>
              <w:adjustRightInd w:val="0"/>
              <w:snapToGrid w:val="0"/>
              <w:spacing w:line="360" w:lineRule="exact"/>
              <w:jc w:val="left"/>
              <w:rPr>
                <w:rFonts w:asciiTheme="majorEastAsia" w:hAnsiTheme="majorEastAsia"/>
                <w:sz w:val="20"/>
              </w:rPr>
            </w:pPr>
            <w:r w:rsidRPr="005A2D01">
              <w:rPr>
                <w:rFonts w:asciiTheme="majorEastAsia" w:hAnsiTheme="majorEastAsia" w:hint="eastAsia"/>
                <w:sz w:val="22"/>
              </w:rPr>
              <w:t xml:space="preserve">　</w:t>
            </w:r>
            <w:r w:rsidR="00EA5B65" w:rsidRPr="005A2D01">
              <w:rPr>
                <w:rFonts w:asciiTheme="majorEastAsia" w:hAnsiTheme="majorEastAsia" w:hint="eastAsia"/>
                <w:sz w:val="22"/>
              </w:rPr>
              <w:t xml:space="preserve">　</w:t>
            </w:r>
            <w:r w:rsidR="00BD4DB4" w:rsidRPr="005A2D01">
              <w:rPr>
                <w:rFonts w:asciiTheme="majorEastAsia" w:hAnsiTheme="majorEastAsia" w:hint="eastAsia"/>
                <w:sz w:val="20"/>
              </w:rPr>
              <w:t>公売公告に記載した日時に最高価申込者に対して売却決定を行います。</w:t>
            </w:r>
          </w:p>
          <w:p w14:paraId="6E47E8E1" w14:textId="77777777" w:rsidR="00BD4DB4" w:rsidRPr="005A2D01" w:rsidRDefault="00BD4DB4" w:rsidP="0069428B">
            <w:pPr>
              <w:autoSpaceDE w:val="0"/>
              <w:autoSpaceDN w:val="0"/>
              <w:adjustRightInd w:val="0"/>
              <w:snapToGrid w:val="0"/>
              <w:spacing w:line="360" w:lineRule="exact"/>
              <w:ind w:leftChars="100" w:left="210" w:firstLineChars="100" w:firstLine="200"/>
              <w:jc w:val="left"/>
              <w:rPr>
                <w:rFonts w:asciiTheme="majorEastAsia" w:hAnsiTheme="majorEastAsia"/>
                <w:sz w:val="20"/>
              </w:rPr>
            </w:pPr>
            <w:r w:rsidRPr="005A2D01">
              <w:rPr>
                <w:rFonts w:asciiTheme="majorEastAsia" w:hAnsiTheme="majorEastAsia" w:hint="eastAsia"/>
                <w:sz w:val="20"/>
              </w:rPr>
              <w:t>ただし、国税徴収法第106条の２に規定する調査の嘱託をした場合であって、公売公告に記載した日時までにその結果が明らかでないときは、売却決定期日はその結果が明らかになった日となります。</w:t>
            </w:r>
          </w:p>
          <w:p w14:paraId="57BDF1DA" w14:textId="77777777" w:rsidR="00BD4DB4" w:rsidRPr="005A2D01" w:rsidRDefault="0017768C" w:rsidP="0069428B">
            <w:pPr>
              <w:autoSpaceDE w:val="0"/>
              <w:autoSpaceDN w:val="0"/>
              <w:adjustRightInd w:val="0"/>
              <w:snapToGrid w:val="0"/>
              <w:spacing w:line="360" w:lineRule="exact"/>
              <w:ind w:left="200" w:hangingChars="100" w:hanging="200"/>
              <w:jc w:val="left"/>
              <w:rPr>
                <w:rFonts w:asciiTheme="majorEastAsia" w:hAnsiTheme="majorEastAsia"/>
                <w:sz w:val="20"/>
              </w:rPr>
            </w:pPr>
            <w:r w:rsidRPr="005A2D01">
              <w:rPr>
                <w:rFonts w:asciiTheme="majorEastAsia" w:hAnsiTheme="majorEastAsia" w:hint="eastAsia"/>
                <w:sz w:val="20"/>
              </w:rPr>
              <w:t xml:space="preserve">　</w:t>
            </w:r>
            <w:r w:rsidR="00EA5B65" w:rsidRPr="005A2D01">
              <w:rPr>
                <w:rFonts w:asciiTheme="majorEastAsia" w:hAnsiTheme="majorEastAsia" w:hint="eastAsia"/>
                <w:sz w:val="20"/>
              </w:rPr>
              <w:t xml:space="preserve">　</w:t>
            </w:r>
            <w:r w:rsidR="00BD4DB4" w:rsidRPr="005A2D01">
              <w:rPr>
                <w:rFonts w:asciiTheme="majorEastAsia" w:hAnsiTheme="majorEastAsia" w:hint="eastAsia"/>
                <w:sz w:val="20"/>
              </w:rPr>
              <w:t>なお、最高価申込者が買受けの申込みを取り消した場合等（「次順位買受申込者の決定」の項の３参照）における次順位買受申込者に対する売却決定は、国税徴収法第113条第２項各号に掲げる日に行います。</w:t>
            </w:r>
          </w:p>
        </w:tc>
      </w:tr>
      <w:tr w:rsidR="005A2D01" w:rsidRPr="005A2D01" w14:paraId="1B934DCA" w14:textId="77777777" w:rsidTr="0069428B">
        <w:trPr>
          <w:trHeight w:val="2771"/>
        </w:trPr>
        <w:tc>
          <w:tcPr>
            <w:tcW w:w="1843" w:type="dxa"/>
            <w:vAlign w:val="center"/>
          </w:tcPr>
          <w:p w14:paraId="2E138A86" w14:textId="77777777" w:rsidR="0017768C" w:rsidRPr="005A2D01" w:rsidRDefault="0017768C" w:rsidP="0069428B">
            <w:pPr>
              <w:adjustRightInd w:val="0"/>
              <w:snapToGrid w:val="0"/>
              <w:ind w:left="92" w:hangingChars="42" w:hanging="92"/>
              <w:jc w:val="center"/>
              <w:rPr>
                <w:rFonts w:asciiTheme="majorEastAsia" w:hAnsiTheme="majorEastAsia"/>
                <w:kern w:val="0"/>
                <w:sz w:val="22"/>
              </w:rPr>
            </w:pPr>
            <w:r w:rsidRPr="005A2D01">
              <w:rPr>
                <w:rFonts w:asciiTheme="majorEastAsia" w:hAnsiTheme="majorEastAsia" w:hint="eastAsia"/>
                <w:kern w:val="0"/>
                <w:sz w:val="22"/>
                <w:fitText w:val="1540" w:id="-1774495232"/>
              </w:rPr>
              <w:t>買受代金の納付</w:t>
            </w:r>
            <w:r w:rsidRPr="005A2D01">
              <w:rPr>
                <w:rFonts w:asciiTheme="majorEastAsia" w:hAnsiTheme="majorEastAsia" w:hint="eastAsia"/>
                <w:spacing w:val="110"/>
                <w:kern w:val="0"/>
                <w:sz w:val="22"/>
                <w:fitText w:val="1540" w:id="-1774495488"/>
              </w:rPr>
              <w:t>につい</w:t>
            </w:r>
            <w:r w:rsidRPr="005A2D01">
              <w:rPr>
                <w:rFonts w:asciiTheme="majorEastAsia" w:hAnsiTheme="majorEastAsia" w:hint="eastAsia"/>
                <w:kern w:val="0"/>
                <w:sz w:val="22"/>
                <w:fitText w:val="1540" w:id="-1774495488"/>
              </w:rPr>
              <w:t>て</w:t>
            </w:r>
          </w:p>
        </w:tc>
        <w:tc>
          <w:tcPr>
            <w:tcW w:w="7796" w:type="dxa"/>
            <w:vAlign w:val="center"/>
          </w:tcPr>
          <w:p w14:paraId="3EB60714" w14:textId="77777777" w:rsidR="0017768C" w:rsidRPr="005A2D01" w:rsidRDefault="0017768C" w:rsidP="0069428B">
            <w:pPr>
              <w:autoSpaceDE w:val="0"/>
              <w:autoSpaceDN w:val="0"/>
              <w:adjustRightInd w:val="0"/>
              <w:snapToGrid w:val="0"/>
              <w:spacing w:line="360" w:lineRule="exact"/>
              <w:ind w:left="220" w:hangingChars="100" w:hanging="220"/>
              <w:jc w:val="left"/>
              <w:rPr>
                <w:rFonts w:asciiTheme="majorEastAsia" w:hAnsiTheme="majorEastAsia"/>
                <w:sz w:val="20"/>
              </w:rPr>
            </w:pPr>
            <w:r w:rsidRPr="005A2D01">
              <w:rPr>
                <w:rFonts w:asciiTheme="majorEastAsia" w:hAnsiTheme="majorEastAsia" w:hint="eastAsia"/>
                <w:sz w:val="22"/>
              </w:rPr>
              <w:t xml:space="preserve">１　</w:t>
            </w:r>
            <w:r w:rsidRPr="005A2D01">
              <w:rPr>
                <w:rFonts w:asciiTheme="majorEastAsia" w:hAnsiTheme="majorEastAsia" w:hint="eastAsia"/>
                <w:sz w:val="20"/>
              </w:rPr>
              <w:t>買受人は、売却決定後、各自治体の公売公告に記載した納付期限までに買受代金を現金又は</w:t>
            </w:r>
            <w:r w:rsidR="00765AEB" w:rsidRPr="005A2D01">
              <w:rPr>
                <w:rFonts w:asciiTheme="majorEastAsia" w:hAnsiTheme="majorEastAsia" w:hint="eastAsia"/>
                <w:sz w:val="20"/>
              </w:rPr>
              <w:t>銀行振出の</w:t>
            </w:r>
            <w:r w:rsidRPr="005A2D01">
              <w:rPr>
                <w:rFonts w:asciiTheme="majorEastAsia" w:hAnsiTheme="majorEastAsia" w:hint="eastAsia"/>
                <w:sz w:val="20"/>
              </w:rPr>
              <w:t>小切手</w:t>
            </w:r>
            <w:r w:rsidR="00A53875" w:rsidRPr="005A2D01">
              <w:rPr>
                <w:rFonts w:asciiTheme="majorEastAsia" w:hAnsiTheme="majorEastAsia" w:hint="eastAsia"/>
                <w:sz w:val="20"/>
              </w:rPr>
              <w:t>（一般線引小切手、支払先は持参人払で電子交換所に参加している銀行等が振出すものに限る）</w:t>
            </w:r>
            <w:r w:rsidRPr="005A2D01">
              <w:rPr>
                <w:rFonts w:asciiTheme="majorEastAsia" w:hAnsiTheme="majorEastAsia" w:hint="eastAsia"/>
                <w:sz w:val="20"/>
              </w:rPr>
              <w:t>により納付しなければなりません。</w:t>
            </w:r>
          </w:p>
          <w:p w14:paraId="683A6048" w14:textId="77777777" w:rsidR="00EA5B65" w:rsidRPr="005A2D01" w:rsidRDefault="00EA5B65" w:rsidP="0069428B">
            <w:pPr>
              <w:autoSpaceDE w:val="0"/>
              <w:autoSpaceDN w:val="0"/>
              <w:adjustRightInd w:val="0"/>
              <w:snapToGrid w:val="0"/>
              <w:spacing w:line="360" w:lineRule="exact"/>
              <w:jc w:val="left"/>
              <w:rPr>
                <w:rFonts w:asciiTheme="majorEastAsia" w:hAnsiTheme="majorEastAsia"/>
                <w:sz w:val="22"/>
              </w:rPr>
            </w:pPr>
          </w:p>
          <w:p w14:paraId="228C9814" w14:textId="77777777" w:rsidR="0017768C" w:rsidRPr="005A2D01" w:rsidRDefault="0017768C" w:rsidP="0069428B">
            <w:pPr>
              <w:autoSpaceDE w:val="0"/>
              <w:autoSpaceDN w:val="0"/>
              <w:adjustRightInd w:val="0"/>
              <w:snapToGrid w:val="0"/>
              <w:spacing w:line="360" w:lineRule="exact"/>
              <w:ind w:left="220" w:hangingChars="100" w:hanging="220"/>
              <w:jc w:val="left"/>
              <w:rPr>
                <w:rFonts w:asciiTheme="majorEastAsia" w:hAnsiTheme="majorEastAsia"/>
                <w:sz w:val="22"/>
              </w:rPr>
            </w:pPr>
            <w:r w:rsidRPr="005A2D01">
              <w:rPr>
                <w:rFonts w:asciiTheme="majorEastAsia" w:hAnsiTheme="majorEastAsia" w:hint="eastAsia"/>
                <w:sz w:val="22"/>
              </w:rPr>
              <w:t xml:space="preserve">２　</w:t>
            </w:r>
            <w:r w:rsidRPr="005A2D01">
              <w:rPr>
                <w:rFonts w:asciiTheme="majorEastAsia" w:hAnsiTheme="majorEastAsia" w:hint="eastAsia"/>
                <w:sz w:val="20"/>
              </w:rPr>
              <w:t>国税徴収法第106条の２に規定する調査の嘱託をした場合であって、公売公告に記載した日時までにその結果が明らかでないときは、買受代金の納付日は変更されます。</w:t>
            </w:r>
          </w:p>
          <w:p w14:paraId="06B2FCA7" w14:textId="77777777" w:rsidR="0017768C" w:rsidRPr="005A2D01" w:rsidRDefault="0017768C" w:rsidP="0069428B">
            <w:pPr>
              <w:autoSpaceDE w:val="0"/>
              <w:autoSpaceDN w:val="0"/>
              <w:adjustRightInd w:val="0"/>
              <w:snapToGrid w:val="0"/>
              <w:spacing w:line="360" w:lineRule="exact"/>
              <w:ind w:left="220" w:hangingChars="100" w:hanging="220"/>
              <w:jc w:val="left"/>
              <w:rPr>
                <w:rFonts w:asciiTheme="majorEastAsia" w:hAnsiTheme="majorEastAsia"/>
                <w:sz w:val="22"/>
              </w:rPr>
            </w:pPr>
            <w:r w:rsidRPr="005A2D01">
              <w:rPr>
                <w:rFonts w:asciiTheme="majorEastAsia" w:hAnsiTheme="majorEastAsia" w:hint="eastAsia"/>
                <w:sz w:val="22"/>
              </w:rPr>
              <w:t xml:space="preserve">３　</w:t>
            </w:r>
            <w:r w:rsidRPr="005A2D01">
              <w:rPr>
                <w:rFonts w:asciiTheme="majorEastAsia" w:hAnsiTheme="majorEastAsia" w:hint="eastAsia"/>
                <w:sz w:val="20"/>
              </w:rPr>
              <w:t>次順位買受申込者が売却決定を受けた場合は、売却決定の日から起算して７日経過した日が納付期限となります。</w:t>
            </w:r>
          </w:p>
        </w:tc>
      </w:tr>
      <w:tr w:rsidR="005A2D01" w:rsidRPr="005A2D01" w14:paraId="00FCD1D2" w14:textId="77777777" w:rsidTr="00010603">
        <w:trPr>
          <w:trHeight w:val="993"/>
        </w:trPr>
        <w:tc>
          <w:tcPr>
            <w:tcW w:w="1843" w:type="dxa"/>
            <w:vAlign w:val="center"/>
          </w:tcPr>
          <w:p w14:paraId="7D1BFDEB" w14:textId="77777777" w:rsidR="00D060D6" w:rsidRPr="005A2D01" w:rsidRDefault="00D060D6" w:rsidP="0069428B">
            <w:pPr>
              <w:adjustRightInd w:val="0"/>
              <w:snapToGrid w:val="0"/>
              <w:ind w:left="92" w:hangingChars="42" w:hanging="92"/>
              <w:jc w:val="center"/>
              <w:rPr>
                <w:rFonts w:asciiTheme="majorEastAsia" w:hAnsiTheme="majorEastAsia"/>
                <w:kern w:val="0"/>
                <w:sz w:val="22"/>
              </w:rPr>
            </w:pPr>
            <w:r w:rsidRPr="005A2D01">
              <w:rPr>
                <w:rFonts w:asciiTheme="majorEastAsia" w:hAnsiTheme="majorEastAsia" w:hint="eastAsia"/>
                <w:kern w:val="0"/>
                <w:sz w:val="22"/>
                <w:fitText w:val="1100" w:id="-1194593792"/>
              </w:rPr>
              <w:t>適格請求書</w:t>
            </w:r>
          </w:p>
          <w:p w14:paraId="35E921C6" w14:textId="77777777" w:rsidR="00D060D6" w:rsidRPr="005A2D01" w:rsidRDefault="00D060D6" w:rsidP="0069428B">
            <w:pPr>
              <w:adjustRightInd w:val="0"/>
              <w:snapToGrid w:val="0"/>
              <w:ind w:left="67" w:hangingChars="42" w:hanging="67"/>
              <w:jc w:val="center"/>
              <w:rPr>
                <w:rFonts w:asciiTheme="majorEastAsia" w:hAnsiTheme="majorEastAsia"/>
                <w:kern w:val="0"/>
                <w:sz w:val="22"/>
              </w:rPr>
            </w:pPr>
            <w:r w:rsidRPr="005A2D01">
              <w:rPr>
                <w:rFonts w:asciiTheme="majorEastAsia" w:hAnsiTheme="majorEastAsia" w:hint="eastAsia"/>
                <w:spacing w:val="2"/>
                <w:w w:val="71"/>
                <w:kern w:val="0"/>
                <w:sz w:val="22"/>
                <w:fitText w:val="1100" w:id="-1194593791"/>
              </w:rPr>
              <w:t>（インボイス</w:t>
            </w:r>
            <w:r w:rsidRPr="005A2D01">
              <w:rPr>
                <w:rFonts w:asciiTheme="majorEastAsia" w:hAnsiTheme="majorEastAsia" w:hint="eastAsia"/>
                <w:spacing w:val="-3"/>
                <w:w w:val="71"/>
                <w:kern w:val="0"/>
                <w:sz w:val="22"/>
                <w:fitText w:val="1100" w:id="-1194593791"/>
              </w:rPr>
              <w:t>）</w:t>
            </w:r>
          </w:p>
          <w:p w14:paraId="4BC17714" w14:textId="77777777" w:rsidR="00D060D6" w:rsidRPr="005A2D01" w:rsidRDefault="00D060D6" w:rsidP="0069428B">
            <w:pPr>
              <w:adjustRightInd w:val="0"/>
              <w:snapToGrid w:val="0"/>
              <w:ind w:left="185" w:hangingChars="42" w:hanging="185"/>
              <w:jc w:val="center"/>
              <w:rPr>
                <w:rFonts w:asciiTheme="majorEastAsia" w:hAnsiTheme="majorEastAsia"/>
                <w:kern w:val="0"/>
                <w:sz w:val="22"/>
              </w:rPr>
            </w:pPr>
            <w:r w:rsidRPr="005A2D01">
              <w:rPr>
                <w:rFonts w:asciiTheme="majorEastAsia" w:hAnsiTheme="majorEastAsia" w:hint="eastAsia"/>
                <w:spacing w:val="110"/>
                <w:kern w:val="0"/>
                <w:sz w:val="22"/>
                <w:fitText w:val="1100" w:id="-1194593790"/>
              </w:rPr>
              <w:t>の交</w:t>
            </w:r>
            <w:r w:rsidRPr="005A2D01">
              <w:rPr>
                <w:rFonts w:asciiTheme="majorEastAsia" w:hAnsiTheme="majorEastAsia" w:hint="eastAsia"/>
                <w:kern w:val="0"/>
                <w:sz w:val="22"/>
                <w:fitText w:val="1100" w:id="-1194593790"/>
              </w:rPr>
              <w:t>付</w:t>
            </w:r>
          </w:p>
        </w:tc>
        <w:tc>
          <w:tcPr>
            <w:tcW w:w="7796" w:type="dxa"/>
            <w:vAlign w:val="center"/>
          </w:tcPr>
          <w:p w14:paraId="58022569" w14:textId="77777777" w:rsidR="00023EF9" w:rsidRPr="005A2D01" w:rsidRDefault="00023EF9" w:rsidP="00023EF9">
            <w:pPr>
              <w:autoSpaceDE w:val="0"/>
              <w:autoSpaceDN w:val="0"/>
              <w:adjustRightInd w:val="0"/>
              <w:snapToGrid w:val="0"/>
              <w:spacing w:line="360" w:lineRule="exact"/>
              <w:ind w:leftChars="151" w:left="317" w:firstLineChars="65" w:firstLine="130"/>
              <w:jc w:val="left"/>
              <w:rPr>
                <w:rFonts w:asciiTheme="majorEastAsia" w:hAnsiTheme="majorEastAsia"/>
                <w:sz w:val="20"/>
              </w:rPr>
            </w:pPr>
            <w:r w:rsidRPr="005A2D01">
              <w:rPr>
                <w:rFonts w:asciiTheme="majorEastAsia" w:hAnsiTheme="majorEastAsia" w:hint="eastAsia"/>
                <w:sz w:val="20"/>
              </w:rPr>
              <w:t>公売財産がインボイス発行事業者の所有する消費税課税財産の場合は、買受人の求めに応じて、適格証明書（インボイス）を発行します。</w:t>
            </w:r>
          </w:p>
          <w:p w14:paraId="6562239B" w14:textId="383F90E4" w:rsidR="00D060D6" w:rsidRPr="005A2D01" w:rsidRDefault="00023EF9" w:rsidP="004C57F9">
            <w:pPr>
              <w:autoSpaceDE w:val="0"/>
              <w:autoSpaceDN w:val="0"/>
              <w:adjustRightInd w:val="0"/>
              <w:snapToGrid w:val="0"/>
              <w:spacing w:line="360" w:lineRule="exact"/>
              <w:ind w:leftChars="151" w:left="317" w:firstLineChars="65" w:firstLine="130"/>
              <w:jc w:val="left"/>
              <w:rPr>
                <w:rFonts w:asciiTheme="majorEastAsia" w:hAnsiTheme="majorEastAsia"/>
                <w:sz w:val="22"/>
              </w:rPr>
            </w:pPr>
            <w:r w:rsidRPr="005A2D01">
              <w:rPr>
                <w:rFonts w:asciiTheme="majorEastAsia" w:hAnsiTheme="majorEastAsia" w:hint="eastAsia"/>
                <w:sz w:val="20"/>
              </w:rPr>
              <w:t>なお、対象物件については</w:t>
            </w:r>
            <w:r w:rsidRPr="00F84131">
              <w:rPr>
                <w:rFonts w:asciiTheme="majorEastAsia" w:hAnsiTheme="majorEastAsia" w:hint="eastAsia"/>
                <w:sz w:val="20"/>
              </w:rPr>
              <w:t>、</w:t>
            </w:r>
            <w:r w:rsidR="0053320F" w:rsidRPr="00F84131">
              <w:rPr>
                <w:rFonts w:asciiTheme="majorEastAsia" w:hAnsiTheme="majorEastAsia" w:hint="eastAsia"/>
                <w:sz w:val="20"/>
              </w:rPr>
              <w:t>「</w:t>
            </w:r>
            <w:r w:rsidR="00D1621B" w:rsidRPr="00395229">
              <w:rPr>
                <w:rFonts w:asciiTheme="majorEastAsia" w:hAnsiTheme="majorEastAsia" w:hint="eastAsia"/>
                <w:sz w:val="20"/>
              </w:rPr>
              <w:t>公売財産の明細</w:t>
            </w:r>
            <w:r w:rsidR="00A75EF1" w:rsidRPr="00F84131">
              <w:rPr>
                <w:rFonts w:asciiTheme="majorEastAsia" w:hAnsiTheme="majorEastAsia" w:hint="eastAsia"/>
                <w:sz w:val="20"/>
              </w:rPr>
              <w:t>」</w:t>
            </w:r>
            <w:r w:rsidRPr="00F84131">
              <w:rPr>
                <w:rFonts w:asciiTheme="majorEastAsia" w:hAnsiTheme="majorEastAsia" w:hint="eastAsia"/>
                <w:sz w:val="20"/>
              </w:rPr>
              <w:t>に記載し</w:t>
            </w:r>
            <w:r w:rsidRPr="005A2D01">
              <w:rPr>
                <w:rFonts w:asciiTheme="majorEastAsia" w:hAnsiTheme="majorEastAsia" w:hint="eastAsia"/>
                <w:sz w:val="20"/>
              </w:rPr>
              <w:t>ています。</w:t>
            </w:r>
          </w:p>
        </w:tc>
      </w:tr>
      <w:tr w:rsidR="005A2D01" w:rsidRPr="005A2D01" w14:paraId="7BD7FEA4" w14:textId="77777777" w:rsidTr="0069428B">
        <w:trPr>
          <w:trHeight w:val="1588"/>
        </w:trPr>
        <w:tc>
          <w:tcPr>
            <w:tcW w:w="1843" w:type="dxa"/>
            <w:vAlign w:val="center"/>
          </w:tcPr>
          <w:p w14:paraId="7E0A16F7" w14:textId="77777777" w:rsidR="00BD4DB4" w:rsidRPr="005A2D01" w:rsidRDefault="00BD4DB4" w:rsidP="0069428B">
            <w:pPr>
              <w:adjustRightInd w:val="0"/>
              <w:snapToGrid w:val="0"/>
              <w:jc w:val="center"/>
              <w:rPr>
                <w:rFonts w:asciiTheme="majorEastAsia" w:hAnsiTheme="majorEastAsia"/>
                <w:sz w:val="22"/>
              </w:rPr>
            </w:pPr>
            <w:r w:rsidRPr="005A2D01">
              <w:rPr>
                <w:rFonts w:asciiTheme="majorEastAsia" w:hAnsiTheme="majorEastAsia" w:hint="eastAsia"/>
                <w:spacing w:val="46"/>
                <w:kern w:val="0"/>
                <w:sz w:val="22"/>
                <w:fitText w:val="1470" w:id="1775405579"/>
              </w:rPr>
              <w:t>売却決定</w:t>
            </w:r>
            <w:r w:rsidRPr="005A2D01">
              <w:rPr>
                <w:rFonts w:asciiTheme="majorEastAsia" w:hAnsiTheme="majorEastAsia" w:hint="eastAsia"/>
                <w:spacing w:val="1"/>
                <w:kern w:val="0"/>
                <w:sz w:val="22"/>
                <w:fitText w:val="1470" w:id="1775405579"/>
              </w:rPr>
              <w:t>の</w:t>
            </w:r>
            <w:r w:rsidRPr="005A2D01">
              <w:rPr>
                <w:rFonts w:asciiTheme="majorEastAsia" w:hAnsiTheme="majorEastAsia" w:hint="eastAsia"/>
                <w:spacing w:val="202"/>
                <w:kern w:val="0"/>
                <w:sz w:val="22"/>
                <w:fitText w:val="1470" w:id="1775405580"/>
              </w:rPr>
              <w:t>取消</w:t>
            </w:r>
            <w:r w:rsidRPr="005A2D01">
              <w:rPr>
                <w:rFonts w:asciiTheme="majorEastAsia" w:hAnsiTheme="majorEastAsia" w:hint="eastAsia"/>
                <w:spacing w:val="1"/>
                <w:kern w:val="0"/>
                <w:sz w:val="22"/>
                <w:fitText w:val="1470" w:id="1775405580"/>
              </w:rPr>
              <w:t>し</w:t>
            </w:r>
          </w:p>
        </w:tc>
        <w:tc>
          <w:tcPr>
            <w:tcW w:w="7796" w:type="dxa"/>
            <w:vAlign w:val="center"/>
          </w:tcPr>
          <w:p w14:paraId="641FEBFA" w14:textId="77777777" w:rsidR="00BD4DB4" w:rsidRPr="005A2D01" w:rsidRDefault="00BD4DB4"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１　</w:t>
            </w:r>
            <w:r w:rsidRPr="005A2D01">
              <w:rPr>
                <w:rFonts w:asciiTheme="majorEastAsia" w:hAnsiTheme="majorEastAsia" w:hint="eastAsia"/>
                <w:sz w:val="20"/>
              </w:rPr>
              <w:t>売却決定を受けた者が公売財産の買受代金を納付期限までに納付しないときは、その売却決定を取り消します。</w:t>
            </w:r>
          </w:p>
          <w:p w14:paraId="37ACD0EE" w14:textId="77777777" w:rsidR="00BD4DB4" w:rsidRPr="005A2D01" w:rsidRDefault="00BD4DB4"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２　</w:t>
            </w:r>
            <w:r w:rsidRPr="005A2D01">
              <w:rPr>
                <w:rFonts w:asciiTheme="majorEastAsia" w:hAnsiTheme="majorEastAsia" w:hint="eastAsia"/>
                <w:sz w:val="20"/>
              </w:rPr>
              <w:t>売却決定に基づく買受代金を納付するときまでに、滞納者が滞納金額を完納したときは、その売却決定を取り消します。</w:t>
            </w:r>
          </w:p>
        </w:tc>
      </w:tr>
      <w:tr w:rsidR="005A2D01" w:rsidRPr="005A2D01" w14:paraId="06BB24D1" w14:textId="77777777" w:rsidTr="0069428B">
        <w:trPr>
          <w:trHeight w:val="2721"/>
        </w:trPr>
        <w:tc>
          <w:tcPr>
            <w:tcW w:w="1843" w:type="dxa"/>
            <w:vAlign w:val="center"/>
          </w:tcPr>
          <w:p w14:paraId="2850E505" w14:textId="77777777" w:rsidR="00BD4DB4" w:rsidRPr="005A2D01" w:rsidRDefault="00BD4DB4" w:rsidP="0069428B">
            <w:pPr>
              <w:adjustRightInd w:val="0"/>
              <w:snapToGrid w:val="0"/>
              <w:jc w:val="center"/>
              <w:rPr>
                <w:rFonts w:asciiTheme="majorEastAsia" w:hAnsiTheme="majorEastAsia"/>
                <w:kern w:val="0"/>
                <w:sz w:val="22"/>
              </w:rPr>
            </w:pPr>
            <w:r w:rsidRPr="005A2D01">
              <w:rPr>
                <w:rFonts w:asciiTheme="majorEastAsia" w:hAnsiTheme="majorEastAsia" w:hint="eastAsia"/>
                <w:spacing w:val="22"/>
                <w:kern w:val="0"/>
                <w:sz w:val="22"/>
                <w:fitText w:val="1540" w:id="1775405581"/>
              </w:rPr>
              <w:lastRenderedPageBreak/>
              <w:t>公売保証金</w:t>
            </w:r>
            <w:r w:rsidRPr="005A2D01">
              <w:rPr>
                <w:rFonts w:asciiTheme="majorEastAsia" w:hAnsiTheme="majorEastAsia" w:hint="eastAsia"/>
                <w:kern w:val="0"/>
                <w:sz w:val="22"/>
                <w:fitText w:val="1540" w:id="1775405581"/>
              </w:rPr>
              <w:t>の</w:t>
            </w:r>
            <w:r w:rsidRPr="005A2D01">
              <w:rPr>
                <w:rFonts w:asciiTheme="majorEastAsia" w:hAnsiTheme="majorEastAsia" w:hint="eastAsia"/>
                <w:spacing w:val="220"/>
                <w:kern w:val="0"/>
                <w:sz w:val="22"/>
                <w:fitText w:val="1540" w:id="1775405582"/>
              </w:rPr>
              <w:t>帰属</w:t>
            </w:r>
            <w:r w:rsidRPr="005A2D01">
              <w:rPr>
                <w:rFonts w:asciiTheme="majorEastAsia" w:hAnsiTheme="majorEastAsia" w:hint="eastAsia"/>
                <w:kern w:val="0"/>
                <w:sz w:val="22"/>
                <w:fitText w:val="1540" w:id="1775405582"/>
              </w:rPr>
              <w:t>等</w:t>
            </w:r>
          </w:p>
        </w:tc>
        <w:tc>
          <w:tcPr>
            <w:tcW w:w="7796" w:type="dxa"/>
            <w:vAlign w:val="center"/>
          </w:tcPr>
          <w:p w14:paraId="426ECC01" w14:textId="77777777" w:rsidR="00BD4DB4" w:rsidRPr="005A2D01" w:rsidRDefault="00BD4DB4"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１　</w:t>
            </w:r>
            <w:r w:rsidRPr="005A2D01">
              <w:rPr>
                <w:rFonts w:asciiTheme="majorEastAsia" w:hAnsiTheme="majorEastAsia" w:hint="eastAsia"/>
                <w:sz w:val="20"/>
              </w:rPr>
              <w:t>最高価申込者又は次順位買受申込者で売却決定を受けた者が提供した公売保証金は、買受代金の一部に充当します。</w:t>
            </w:r>
          </w:p>
          <w:p w14:paraId="2F951E60" w14:textId="77777777" w:rsidR="00BD4DB4" w:rsidRPr="005A2D01" w:rsidRDefault="00BD4DB4"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２　</w:t>
            </w:r>
            <w:r w:rsidRPr="005A2D01">
              <w:rPr>
                <w:rFonts w:asciiTheme="majorEastAsia" w:hAnsiTheme="majorEastAsia" w:hint="eastAsia"/>
                <w:sz w:val="20"/>
              </w:rPr>
              <w:t>買受人が、買受代金を納付期限までに納付しないことにより売却決定が取り消された場合は、その者の提供した公売保証金は滞納者の滞納税に充当します。</w:t>
            </w:r>
            <w:r w:rsidRPr="005A2D01">
              <w:rPr>
                <w:rFonts w:asciiTheme="majorEastAsia" w:hAnsiTheme="majorEastAsia"/>
                <w:sz w:val="20"/>
              </w:rPr>
              <w:br/>
            </w:r>
            <w:r w:rsidR="004E6D54" w:rsidRPr="005A2D01">
              <w:rPr>
                <w:rFonts w:asciiTheme="majorEastAsia" w:hAnsiTheme="majorEastAsia" w:hint="eastAsia"/>
                <w:sz w:val="20"/>
              </w:rPr>
              <w:t xml:space="preserve">　</w:t>
            </w:r>
            <w:r w:rsidRPr="005A2D01">
              <w:rPr>
                <w:rFonts w:asciiTheme="majorEastAsia" w:hAnsiTheme="majorEastAsia" w:hint="eastAsia"/>
                <w:sz w:val="20"/>
              </w:rPr>
              <w:t>なお、残余金があるときはこれを滞納者に交付します。</w:t>
            </w:r>
          </w:p>
        </w:tc>
      </w:tr>
      <w:tr w:rsidR="005A2D01" w:rsidRPr="005A2D01" w14:paraId="00AACDCF" w14:textId="77777777" w:rsidTr="0069428B">
        <w:trPr>
          <w:trHeight w:val="1758"/>
        </w:trPr>
        <w:tc>
          <w:tcPr>
            <w:tcW w:w="1843" w:type="dxa"/>
            <w:vAlign w:val="center"/>
          </w:tcPr>
          <w:p w14:paraId="54801488" w14:textId="77777777" w:rsidR="00BD4DB4" w:rsidRPr="005A2D01" w:rsidRDefault="00BD4DB4" w:rsidP="0069428B">
            <w:pPr>
              <w:adjustRightInd w:val="0"/>
              <w:snapToGrid w:val="0"/>
              <w:rPr>
                <w:rFonts w:asciiTheme="majorEastAsia" w:hAnsiTheme="majorEastAsia"/>
                <w:kern w:val="0"/>
                <w:sz w:val="22"/>
              </w:rPr>
            </w:pPr>
            <w:r w:rsidRPr="005A2D01">
              <w:rPr>
                <w:rFonts w:asciiTheme="majorEastAsia" w:hAnsiTheme="majorEastAsia" w:hint="eastAsia"/>
                <w:spacing w:val="55"/>
                <w:kern w:val="0"/>
                <w:sz w:val="22"/>
                <w:fitText w:val="1540" w:id="1775429377"/>
              </w:rPr>
              <w:t>権利移転</w:t>
            </w:r>
            <w:r w:rsidRPr="005A2D01">
              <w:rPr>
                <w:rFonts w:asciiTheme="majorEastAsia" w:hAnsiTheme="majorEastAsia" w:hint="eastAsia"/>
                <w:kern w:val="0"/>
                <w:sz w:val="22"/>
                <w:fitText w:val="1540" w:id="1775429377"/>
              </w:rPr>
              <w:t>の</w:t>
            </w:r>
          </w:p>
          <w:p w14:paraId="50A07E7F" w14:textId="77777777" w:rsidR="00BD4DB4" w:rsidRPr="005A2D01" w:rsidRDefault="00BD4DB4" w:rsidP="0069428B">
            <w:pPr>
              <w:adjustRightInd w:val="0"/>
              <w:snapToGrid w:val="0"/>
              <w:jc w:val="center"/>
              <w:rPr>
                <w:rFonts w:asciiTheme="majorEastAsia" w:hAnsiTheme="majorEastAsia"/>
                <w:kern w:val="0"/>
                <w:sz w:val="22"/>
              </w:rPr>
            </w:pPr>
            <w:r w:rsidRPr="005A2D01">
              <w:rPr>
                <w:rFonts w:asciiTheme="majorEastAsia" w:hAnsiTheme="majorEastAsia" w:hint="eastAsia"/>
                <w:spacing w:val="202"/>
                <w:kern w:val="0"/>
                <w:sz w:val="22"/>
                <w:fitText w:val="1470" w:id="1775405584"/>
              </w:rPr>
              <w:t>時期</w:t>
            </w:r>
            <w:r w:rsidRPr="005A2D01">
              <w:rPr>
                <w:rFonts w:asciiTheme="majorEastAsia" w:hAnsiTheme="majorEastAsia" w:hint="eastAsia"/>
                <w:spacing w:val="1"/>
                <w:kern w:val="0"/>
                <w:sz w:val="22"/>
                <w:fitText w:val="1470" w:id="1775405584"/>
              </w:rPr>
              <w:t>等</w:t>
            </w:r>
          </w:p>
        </w:tc>
        <w:tc>
          <w:tcPr>
            <w:tcW w:w="7796" w:type="dxa"/>
            <w:vAlign w:val="center"/>
          </w:tcPr>
          <w:p w14:paraId="3821A6DA" w14:textId="77777777" w:rsidR="00BD4DB4" w:rsidRPr="005A2D01" w:rsidRDefault="00BD4DB4" w:rsidP="0069428B">
            <w:pPr>
              <w:pStyle w:val="a5"/>
              <w:autoSpaceDE w:val="0"/>
              <w:autoSpaceDN w:val="0"/>
              <w:adjustRightInd w:val="0"/>
              <w:snapToGrid w:val="0"/>
              <w:spacing w:line="360" w:lineRule="exact"/>
              <w:ind w:leftChars="0" w:left="0"/>
              <w:jc w:val="left"/>
              <w:rPr>
                <w:rFonts w:asciiTheme="majorEastAsia" w:hAnsiTheme="majorEastAsia"/>
                <w:sz w:val="20"/>
              </w:rPr>
            </w:pPr>
            <w:r w:rsidRPr="005A2D01">
              <w:rPr>
                <w:rFonts w:asciiTheme="majorEastAsia" w:hAnsiTheme="majorEastAsia" w:hint="eastAsia"/>
                <w:sz w:val="22"/>
              </w:rPr>
              <w:t xml:space="preserve">１　</w:t>
            </w:r>
            <w:r w:rsidRPr="005A2D01">
              <w:rPr>
                <w:rFonts w:asciiTheme="majorEastAsia" w:hAnsiTheme="majorEastAsia" w:hint="eastAsia"/>
                <w:sz w:val="20"/>
              </w:rPr>
              <w:t>買受人は、買受代金の全額を納付したときに公売財産を取得します。</w:t>
            </w:r>
          </w:p>
          <w:p w14:paraId="7E0AD56E" w14:textId="77777777" w:rsidR="00BD4DB4" w:rsidRPr="005A2D01" w:rsidRDefault="00BD4DB4"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２　</w:t>
            </w:r>
            <w:r w:rsidRPr="005A2D01">
              <w:rPr>
                <w:rFonts w:asciiTheme="majorEastAsia" w:hAnsiTheme="majorEastAsia" w:hint="eastAsia"/>
                <w:sz w:val="20"/>
              </w:rPr>
              <w:t>買受代金の全額を納付した後に生じた財産のき損、焼失等による損害は買受人が負担することになります。</w:t>
            </w:r>
          </w:p>
        </w:tc>
      </w:tr>
      <w:tr w:rsidR="005A2D01" w:rsidRPr="005A2D01" w14:paraId="505B0323" w14:textId="77777777" w:rsidTr="0069428B">
        <w:trPr>
          <w:trHeight w:val="1266"/>
        </w:trPr>
        <w:tc>
          <w:tcPr>
            <w:tcW w:w="1843" w:type="dxa"/>
            <w:vAlign w:val="center"/>
          </w:tcPr>
          <w:p w14:paraId="33A62098" w14:textId="77777777" w:rsidR="00BD4DB4" w:rsidRPr="005A2D01" w:rsidRDefault="00BD4DB4" w:rsidP="0069428B">
            <w:pPr>
              <w:adjustRightInd w:val="0"/>
              <w:snapToGrid w:val="0"/>
              <w:jc w:val="center"/>
              <w:rPr>
                <w:rFonts w:asciiTheme="majorEastAsia" w:hAnsiTheme="majorEastAsia"/>
                <w:kern w:val="0"/>
                <w:sz w:val="22"/>
              </w:rPr>
            </w:pPr>
            <w:r w:rsidRPr="005A2D01">
              <w:rPr>
                <w:rFonts w:asciiTheme="majorEastAsia" w:hAnsiTheme="majorEastAsia" w:hint="eastAsia"/>
                <w:spacing w:val="55"/>
                <w:kern w:val="0"/>
                <w:sz w:val="22"/>
                <w:fitText w:val="1540" w:id="1775429632"/>
              </w:rPr>
              <w:t>権利移転</w:t>
            </w:r>
            <w:r w:rsidRPr="005A2D01">
              <w:rPr>
                <w:rFonts w:asciiTheme="majorEastAsia" w:hAnsiTheme="majorEastAsia" w:hint="eastAsia"/>
                <w:kern w:val="0"/>
                <w:sz w:val="22"/>
                <w:fitText w:val="1540" w:id="1775429632"/>
              </w:rPr>
              <w:t>に</w:t>
            </w:r>
            <w:r w:rsidRPr="005A2D01">
              <w:rPr>
                <w:rFonts w:asciiTheme="majorEastAsia" w:hAnsiTheme="majorEastAsia" w:hint="eastAsia"/>
                <w:spacing w:val="110"/>
                <w:kern w:val="0"/>
                <w:sz w:val="22"/>
                <w:fitText w:val="1540" w:id="1775429633"/>
              </w:rPr>
              <w:t>伴う費</w:t>
            </w:r>
            <w:r w:rsidRPr="005A2D01">
              <w:rPr>
                <w:rFonts w:asciiTheme="majorEastAsia" w:hAnsiTheme="majorEastAsia" w:hint="eastAsia"/>
                <w:kern w:val="0"/>
                <w:sz w:val="22"/>
                <w:fitText w:val="1540" w:id="1775429633"/>
              </w:rPr>
              <w:t>用</w:t>
            </w:r>
          </w:p>
        </w:tc>
        <w:tc>
          <w:tcPr>
            <w:tcW w:w="7796" w:type="dxa"/>
            <w:vAlign w:val="center"/>
          </w:tcPr>
          <w:p w14:paraId="073D2903" w14:textId="77777777" w:rsidR="00BD4DB4" w:rsidRPr="005A2D01" w:rsidRDefault="00BD4DB4" w:rsidP="0069428B">
            <w:pPr>
              <w:autoSpaceDE w:val="0"/>
              <w:autoSpaceDN w:val="0"/>
              <w:adjustRightInd w:val="0"/>
              <w:snapToGrid w:val="0"/>
              <w:spacing w:line="360" w:lineRule="exact"/>
              <w:ind w:leftChars="1" w:left="222" w:hangingChars="100" w:hanging="220"/>
              <w:jc w:val="left"/>
              <w:rPr>
                <w:rFonts w:asciiTheme="majorEastAsia" w:hAnsiTheme="majorEastAsia"/>
                <w:sz w:val="20"/>
              </w:rPr>
            </w:pPr>
            <w:r w:rsidRPr="005A2D01">
              <w:rPr>
                <w:rFonts w:asciiTheme="majorEastAsia" w:hAnsiTheme="majorEastAsia" w:hint="eastAsia"/>
                <w:sz w:val="22"/>
              </w:rPr>
              <w:t xml:space="preserve">　</w:t>
            </w:r>
            <w:r w:rsidR="00B377BE" w:rsidRPr="005A2D01">
              <w:rPr>
                <w:rFonts w:asciiTheme="majorEastAsia" w:hAnsiTheme="majorEastAsia" w:hint="eastAsia"/>
                <w:sz w:val="20"/>
              </w:rPr>
              <w:t xml:space="preserve">　</w:t>
            </w:r>
            <w:r w:rsidRPr="005A2D01">
              <w:rPr>
                <w:rFonts w:asciiTheme="majorEastAsia" w:hAnsiTheme="majorEastAsia" w:hint="eastAsia"/>
                <w:sz w:val="20"/>
              </w:rPr>
              <w:t>公売財産の権利移転に伴う登録免許税その他の費用は、買受人の負担となります。</w:t>
            </w:r>
          </w:p>
        </w:tc>
      </w:tr>
      <w:tr w:rsidR="005A2D01" w:rsidRPr="005A2D01" w14:paraId="06CFC068" w14:textId="77777777" w:rsidTr="0069428B">
        <w:trPr>
          <w:trHeight w:val="4139"/>
        </w:trPr>
        <w:tc>
          <w:tcPr>
            <w:tcW w:w="1843" w:type="dxa"/>
            <w:vAlign w:val="center"/>
          </w:tcPr>
          <w:p w14:paraId="4E9429E5" w14:textId="77777777" w:rsidR="00BD4DB4" w:rsidRPr="005A2D01" w:rsidRDefault="00BD4DB4" w:rsidP="0069428B">
            <w:pPr>
              <w:adjustRightInd w:val="0"/>
              <w:snapToGrid w:val="0"/>
              <w:jc w:val="center"/>
              <w:rPr>
                <w:rFonts w:asciiTheme="majorEastAsia" w:hAnsiTheme="majorEastAsia"/>
                <w:kern w:val="0"/>
                <w:sz w:val="22"/>
              </w:rPr>
            </w:pPr>
            <w:r w:rsidRPr="005A2D01">
              <w:rPr>
                <w:rFonts w:asciiTheme="majorEastAsia" w:hAnsiTheme="majorEastAsia" w:hint="eastAsia"/>
                <w:spacing w:val="15"/>
                <w:kern w:val="0"/>
                <w:sz w:val="22"/>
                <w:fitText w:val="1470" w:id="1775405570"/>
              </w:rPr>
              <w:t>権利移転手</w:t>
            </w:r>
            <w:r w:rsidRPr="005A2D01">
              <w:rPr>
                <w:rFonts w:asciiTheme="majorEastAsia" w:hAnsiTheme="majorEastAsia" w:hint="eastAsia"/>
                <w:kern w:val="0"/>
                <w:sz w:val="22"/>
                <w:fitText w:val="1470" w:id="1775405570"/>
              </w:rPr>
              <w:t>続</w:t>
            </w:r>
          </w:p>
        </w:tc>
        <w:tc>
          <w:tcPr>
            <w:tcW w:w="7796" w:type="dxa"/>
            <w:vAlign w:val="center"/>
          </w:tcPr>
          <w:p w14:paraId="251825FD" w14:textId="77777777" w:rsidR="00BD4DB4" w:rsidRPr="005A2D01" w:rsidRDefault="00BD4DB4" w:rsidP="0069428B">
            <w:pPr>
              <w:autoSpaceDE w:val="0"/>
              <w:autoSpaceDN w:val="0"/>
              <w:adjustRightInd w:val="0"/>
              <w:snapToGrid w:val="0"/>
              <w:spacing w:line="360" w:lineRule="exact"/>
              <w:ind w:left="220" w:hangingChars="100" w:hanging="220"/>
              <w:jc w:val="left"/>
              <w:rPr>
                <w:rFonts w:asciiTheme="majorEastAsia" w:hAnsiTheme="majorEastAsia"/>
                <w:sz w:val="20"/>
              </w:rPr>
            </w:pPr>
            <w:r w:rsidRPr="005A2D01">
              <w:rPr>
                <w:rFonts w:asciiTheme="majorEastAsia" w:hAnsiTheme="majorEastAsia" w:hint="eastAsia"/>
                <w:sz w:val="22"/>
              </w:rPr>
              <w:t xml:space="preserve">１　</w:t>
            </w:r>
            <w:r w:rsidRPr="005A2D01">
              <w:rPr>
                <w:rFonts w:asciiTheme="majorEastAsia" w:hAnsiTheme="majorEastAsia" w:hint="eastAsia"/>
                <w:sz w:val="20"/>
              </w:rPr>
              <w:t>買受人は、買受代金の全額を納付した場合には、速やかに公売財産の権利移転の登記の請求をしてください。</w:t>
            </w:r>
          </w:p>
          <w:p w14:paraId="2A760EB0" w14:textId="77777777" w:rsidR="00BD4DB4" w:rsidRPr="005A2D01" w:rsidRDefault="00BD4DB4" w:rsidP="0069428B">
            <w:pPr>
              <w:autoSpaceDE w:val="0"/>
              <w:autoSpaceDN w:val="0"/>
              <w:adjustRightInd w:val="0"/>
              <w:snapToGrid w:val="0"/>
              <w:spacing w:line="360" w:lineRule="exact"/>
              <w:ind w:left="220" w:hangingChars="100" w:hanging="220"/>
              <w:jc w:val="left"/>
              <w:rPr>
                <w:rFonts w:asciiTheme="majorEastAsia" w:hAnsiTheme="majorEastAsia"/>
                <w:sz w:val="20"/>
              </w:rPr>
            </w:pPr>
            <w:r w:rsidRPr="005A2D01">
              <w:rPr>
                <w:rFonts w:asciiTheme="majorEastAsia" w:hAnsiTheme="majorEastAsia" w:hint="eastAsia"/>
                <w:sz w:val="22"/>
              </w:rPr>
              <w:t xml:space="preserve">２　</w:t>
            </w:r>
            <w:r w:rsidRPr="005A2D01">
              <w:rPr>
                <w:rFonts w:asciiTheme="majorEastAsia" w:hAnsiTheme="majorEastAsia" w:hint="eastAsia"/>
                <w:sz w:val="20"/>
              </w:rPr>
              <w:t>権利移転の請求は、登録免許税その他の費用とともに権利移転登記請求書に、以下の書類等を添えて提出してください。</w:t>
            </w:r>
          </w:p>
          <w:p w14:paraId="0E1E3D1F" w14:textId="77777777" w:rsidR="00BD4DB4" w:rsidRPr="005A2D01" w:rsidRDefault="00BD4DB4" w:rsidP="0069428B">
            <w:pPr>
              <w:autoSpaceDE w:val="0"/>
              <w:autoSpaceDN w:val="0"/>
              <w:adjustRightInd w:val="0"/>
              <w:snapToGrid w:val="0"/>
              <w:spacing w:line="360" w:lineRule="exact"/>
              <w:ind w:left="602" w:hangingChars="300" w:hanging="602"/>
              <w:jc w:val="left"/>
              <w:rPr>
                <w:rFonts w:asciiTheme="majorEastAsia" w:hAnsiTheme="majorEastAsia"/>
                <w:sz w:val="20"/>
              </w:rPr>
            </w:pPr>
            <w:r w:rsidRPr="005A2D01">
              <w:rPr>
                <w:rFonts w:asciiTheme="majorEastAsia" w:hAnsiTheme="majorEastAsia" w:hint="eastAsia"/>
                <w:b/>
                <w:sz w:val="20"/>
              </w:rPr>
              <w:t xml:space="preserve">　　・</w:t>
            </w:r>
            <w:r w:rsidRPr="005A2D01">
              <w:rPr>
                <w:rFonts w:asciiTheme="majorEastAsia" w:hAnsiTheme="majorEastAsia" w:hint="eastAsia"/>
                <w:sz w:val="20"/>
              </w:rPr>
              <w:t>住民票（個人番号の記載がないもの）又は登記事項証明書（商業・法人）（代表者事項証明書を含む）</w:t>
            </w:r>
          </w:p>
          <w:p w14:paraId="391B972B" w14:textId="77777777" w:rsidR="00BD4DB4" w:rsidRPr="005A2D01" w:rsidRDefault="00BD4DB4" w:rsidP="0069428B">
            <w:pPr>
              <w:autoSpaceDE w:val="0"/>
              <w:autoSpaceDN w:val="0"/>
              <w:adjustRightInd w:val="0"/>
              <w:snapToGrid w:val="0"/>
              <w:spacing w:line="360" w:lineRule="exact"/>
              <w:jc w:val="left"/>
              <w:rPr>
                <w:rFonts w:asciiTheme="majorEastAsia" w:hAnsiTheme="majorEastAsia"/>
                <w:sz w:val="20"/>
              </w:rPr>
            </w:pPr>
            <w:r w:rsidRPr="005A2D01">
              <w:rPr>
                <w:rFonts w:asciiTheme="majorEastAsia" w:hAnsiTheme="majorEastAsia" w:hint="eastAsia"/>
                <w:b/>
                <w:sz w:val="20"/>
              </w:rPr>
              <w:t xml:space="preserve">　　・</w:t>
            </w:r>
            <w:r w:rsidRPr="005A2D01">
              <w:rPr>
                <w:rFonts w:asciiTheme="majorEastAsia" w:hAnsiTheme="majorEastAsia" w:hint="eastAsia"/>
                <w:sz w:val="20"/>
              </w:rPr>
              <w:t>市町村役場発行の固定資産評価証明書</w:t>
            </w:r>
          </w:p>
          <w:p w14:paraId="72831C58" w14:textId="77777777" w:rsidR="00BD4DB4" w:rsidRPr="005A2D01" w:rsidRDefault="00BD4DB4" w:rsidP="0069428B">
            <w:pPr>
              <w:autoSpaceDE w:val="0"/>
              <w:autoSpaceDN w:val="0"/>
              <w:adjustRightInd w:val="0"/>
              <w:snapToGrid w:val="0"/>
              <w:spacing w:line="360" w:lineRule="exact"/>
              <w:jc w:val="left"/>
              <w:rPr>
                <w:rFonts w:asciiTheme="majorEastAsia" w:hAnsiTheme="majorEastAsia"/>
                <w:sz w:val="20"/>
              </w:rPr>
            </w:pPr>
            <w:r w:rsidRPr="005A2D01">
              <w:rPr>
                <w:rFonts w:asciiTheme="majorEastAsia" w:hAnsiTheme="majorEastAsia" w:hint="eastAsia"/>
                <w:b/>
                <w:sz w:val="20"/>
              </w:rPr>
              <w:t xml:space="preserve">　　・</w:t>
            </w:r>
            <w:r w:rsidRPr="005A2D01">
              <w:rPr>
                <w:rFonts w:asciiTheme="majorEastAsia" w:hAnsiTheme="majorEastAsia" w:hint="eastAsia"/>
                <w:sz w:val="20"/>
              </w:rPr>
              <w:t>登録免許税相当額の収入印紙又は当税納付済の領収証書</w:t>
            </w:r>
          </w:p>
          <w:p w14:paraId="2AE34000" w14:textId="77777777" w:rsidR="00BD4DB4" w:rsidRPr="005A2D01" w:rsidRDefault="00BD4DB4" w:rsidP="0069428B">
            <w:pPr>
              <w:autoSpaceDE w:val="0"/>
              <w:autoSpaceDN w:val="0"/>
              <w:adjustRightInd w:val="0"/>
              <w:snapToGrid w:val="0"/>
              <w:spacing w:line="360" w:lineRule="exact"/>
              <w:jc w:val="left"/>
              <w:rPr>
                <w:rFonts w:asciiTheme="majorEastAsia" w:hAnsiTheme="majorEastAsia"/>
                <w:sz w:val="20"/>
              </w:rPr>
            </w:pPr>
            <w:r w:rsidRPr="005A2D01">
              <w:rPr>
                <w:rFonts w:asciiTheme="majorEastAsia" w:hAnsiTheme="majorEastAsia" w:hint="eastAsia"/>
                <w:b/>
                <w:sz w:val="20"/>
              </w:rPr>
              <w:t xml:space="preserve">　　・</w:t>
            </w:r>
            <w:r w:rsidRPr="005A2D01">
              <w:rPr>
                <w:rFonts w:asciiTheme="majorEastAsia" w:hAnsiTheme="majorEastAsia" w:hint="eastAsia"/>
                <w:sz w:val="20"/>
              </w:rPr>
              <w:t>登記関係書類の送付に要する郵送料</w:t>
            </w:r>
          </w:p>
          <w:p w14:paraId="6B1B065B" w14:textId="77777777" w:rsidR="00BD4DB4" w:rsidRPr="005A2D01" w:rsidRDefault="00BD4DB4" w:rsidP="0069428B">
            <w:pPr>
              <w:pStyle w:val="a5"/>
              <w:autoSpaceDE w:val="0"/>
              <w:autoSpaceDN w:val="0"/>
              <w:adjustRightInd w:val="0"/>
              <w:snapToGrid w:val="0"/>
              <w:spacing w:line="360" w:lineRule="exact"/>
              <w:ind w:leftChars="0" w:left="602" w:hangingChars="300" w:hanging="602"/>
              <w:jc w:val="left"/>
              <w:rPr>
                <w:rFonts w:asciiTheme="majorEastAsia" w:hAnsiTheme="majorEastAsia"/>
                <w:sz w:val="20"/>
              </w:rPr>
            </w:pPr>
            <w:r w:rsidRPr="005A2D01">
              <w:rPr>
                <w:rFonts w:asciiTheme="majorEastAsia" w:hAnsiTheme="majorEastAsia" w:hint="eastAsia"/>
                <w:b/>
                <w:sz w:val="20"/>
              </w:rPr>
              <w:t xml:space="preserve">　　・</w:t>
            </w:r>
            <w:r w:rsidRPr="005A2D01">
              <w:rPr>
                <w:rFonts w:asciiTheme="majorEastAsia" w:hAnsiTheme="majorEastAsia" w:hint="eastAsia"/>
                <w:sz w:val="20"/>
              </w:rPr>
              <w:t>その他、各執行機関の公売公告で記載している書類等（農地の場合の買受適格証明書など）</w:t>
            </w:r>
          </w:p>
        </w:tc>
      </w:tr>
      <w:tr w:rsidR="005A2D01" w:rsidRPr="005A2D01" w14:paraId="361C2B41" w14:textId="77777777" w:rsidTr="0069428B">
        <w:trPr>
          <w:trHeight w:val="1644"/>
        </w:trPr>
        <w:tc>
          <w:tcPr>
            <w:tcW w:w="1843" w:type="dxa"/>
            <w:vAlign w:val="center"/>
          </w:tcPr>
          <w:p w14:paraId="6B150642" w14:textId="77777777" w:rsidR="00BD4DB4" w:rsidRPr="005A2D01" w:rsidRDefault="00BD4DB4" w:rsidP="0069428B">
            <w:pPr>
              <w:adjustRightInd w:val="0"/>
              <w:snapToGrid w:val="0"/>
              <w:jc w:val="center"/>
              <w:rPr>
                <w:rFonts w:asciiTheme="majorEastAsia" w:hAnsiTheme="majorEastAsia"/>
                <w:kern w:val="0"/>
                <w:sz w:val="22"/>
              </w:rPr>
            </w:pPr>
            <w:r w:rsidRPr="005A2D01">
              <w:rPr>
                <w:rFonts w:asciiTheme="majorEastAsia" w:hAnsiTheme="majorEastAsia" w:hint="eastAsia"/>
                <w:spacing w:val="202"/>
                <w:kern w:val="0"/>
                <w:sz w:val="22"/>
                <w:fitText w:val="1470" w:id="1775405571"/>
              </w:rPr>
              <w:t>その</w:t>
            </w:r>
            <w:r w:rsidRPr="005A2D01">
              <w:rPr>
                <w:rFonts w:asciiTheme="majorEastAsia" w:hAnsiTheme="majorEastAsia" w:hint="eastAsia"/>
                <w:spacing w:val="1"/>
                <w:kern w:val="0"/>
                <w:sz w:val="22"/>
                <w:fitText w:val="1470" w:id="1775405571"/>
              </w:rPr>
              <w:t>他</w:t>
            </w:r>
          </w:p>
        </w:tc>
        <w:tc>
          <w:tcPr>
            <w:tcW w:w="7796" w:type="dxa"/>
            <w:vAlign w:val="center"/>
          </w:tcPr>
          <w:p w14:paraId="209DFFD3" w14:textId="77777777" w:rsidR="00BD4DB4" w:rsidRPr="005A2D01" w:rsidRDefault="00BD4DB4" w:rsidP="0069428B">
            <w:pPr>
              <w:pStyle w:val="a5"/>
              <w:autoSpaceDE w:val="0"/>
              <w:autoSpaceDN w:val="0"/>
              <w:adjustRightInd w:val="0"/>
              <w:snapToGrid w:val="0"/>
              <w:spacing w:line="360" w:lineRule="exact"/>
              <w:ind w:leftChars="0" w:left="0"/>
              <w:jc w:val="left"/>
              <w:rPr>
                <w:rFonts w:asciiTheme="majorEastAsia" w:hAnsiTheme="majorEastAsia"/>
                <w:sz w:val="22"/>
              </w:rPr>
            </w:pPr>
            <w:r w:rsidRPr="005A2D01">
              <w:rPr>
                <w:rFonts w:asciiTheme="majorEastAsia" w:hAnsiTheme="majorEastAsia" w:hint="eastAsia"/>
                <w:sz w:val="22"/>
              </w:rPr>
              <w:t xml:space="preserve">１　</w:t>
            </w:r>
            <w:r w:rsidRPr="005A2D01">
              <w:rPr>
                <w:rFonts w:asciiTheme="majorEastAsia" w:hAnsiTheme="majorEastAsia" w:hint="eastAsia"/>
                <w:sz w:val="20"/>
              </w:rPr>
              <w:t>公売財産の現況等を確認した上で入札してください。</w:t>
            </w:r>
          </w:p>
          <w:p w14:paraId="686C0037" w14:textId="77777777" w:rsidR="004E6D54" w:rsidRPr="005A2D01" w:rsidRDefault="00BD4DB4" w:rsidP="0069428B">
            <w:pPr>
              <w:pStyle w:val="a5"/>
              <w:autoSpaceDE w:val="0"/>
              <w:autoSpaceDN w:val="0"/>
              <w:adjustRightInd w:val="0"/>
              <w:snapToGrid w:val="0"/>
              <w:spacing w:line="360" w:lineRule="exact"/>
              <w:ind w:leftChars="0" w:left="440" w:hangingChars="200" w:hanging="440"/>
              <w:jc w:val="left"/>
              <w:rPr>
                <w:rFonts w:asciiTheme="majorEastAsia" w:hAnsiTheme="majorEastAsia"/>
                <w:sz w:val="20"/>
              </w:rPr>
            </w:pPr>
            <w:r w:rsidRPr="005A2D01">
              <w:rPr>
                <w:rFonts w:asciiTheme="majorEastAsia" w:hAnsiTheme="majorEastAsia" w:hint="eastAsia"/>
                <w:sz w:val="22"/>
              </w:rPr>
              <w:t xml:space="preserve">２　</w:t>
            </w:r>
            <w:r w:rsidRPr="005A2D01">
              <w:rPr>
                <w:rFonts w:asciiTheme="majorEastAsia" w:hAnsiTheme="majorEastAsia" w:hint="eastAsia"/>
                <w:sz w:val="20"/>
              </w:rPr>
              <w:t>執行機関は公売財産の種類又は品質に関する不適合についての担保責任等や引</w:t>
            </w:r>
          </w:p>
          <w:p w14:paraId="12513186" w14:textId="77777777" w:rsidR="00BD4DB4" w:rsidRPr="005A2D01" w:rsidRDefault="00BD4DB4" w:rsidP="0069428B">
            <w:pPr>
              <w:pStyle w:val="a5"/>
              <w:autoSpaceDE w:val="0"/>
              <w:autoSpaceDN w:val="0"/>
              <w:adjustRightInd w:val="0"/>
              <w:snapToGrid w:val="0"/>
              <w:spacing w:line="360" w:lineRule="exact"/>
              <w:ind w:leftChars="100" w:left="410" w:hangingChars="100" w:hanging="200"/>
              <w:jc w:val="left"/>
              <w:rPr>
                <w:rFonts w:asciiTheme="majorEastAsia" w:hAnsiTheme="majorEastAsia"/>
                <w:sz w:val="22"/>
              </w:rPr>
            </w:pPr>
            <w:r w:rsidRPr="005A2D01">
              <w:rPr>
                <w:rFonts w:asciiTheme="majorEastAsia" w:hAnsiTheme="majorEastAsia" w:hint="eastAsia"/>
                <w:sz w:val="20"/>
              </w:rPr>
              <w:t>渡義務を負いません。</w:t>
            </w:r>
          </w:p>
          <w:p w14:paraId="4FE5989A" w14:textId="77777777" w:rsidR="00BD4DB4" w:rsidRPr="005A2D01" w:rsidRDefault="00BD4DB4" w:rsidP="0069428B">
            <w:pPr>
              <w:pStyle w:val="a5"/>
              <w:autoSpaceDE w:val="0"/>
              <w:autoSpaceDN w:val="0"/>
              <w:adjustRightInd w:val="0"/>
              <w:snapToGrid w:val="0"/>
              <w:spacing w:line="360" w:lineRule="exact"/>
              <w:ind w:leftChars="0" w:left="220" w:hangingChars="100" w:hanging="220"/>
              <w:jc w:val="left"/>
              <w:rPr>
                <w:rFonts w:asciiTheme="majorEastAsia" w:hAnsiTheme="majorEastAsia"/>
                <w:sz w:val="20"/>
              </w:rPr>
            </w:pPr>
            <w:r w:rsidRPr="005A2D01">
              <w:rPr>
                <w:rFonts w:asciiTheme="majorEastAsia" w:hAnsiTheme="majorEastAsia" w:hint="eastAsia"/>
                <w:sz w:val="22"/>
              </w:rPr>
              <w:t xml:space="preserve">３　</w:t>
            </w:r>
            <w:r w:rsidRPr="005A2D01">
              <w:rPr>
                <w:rFonts w:asciiTheme="majorEastAsia" w:hAnsiTheme="majorEastAsia" w:hint="eastAsia"/>
                <w:sz w:val="20"/>
              </w:rPr>
              <w:t>特段の事情（天災等）や国税徴収法第106条の２に規定する調査の嘱託をした場合であって、公売公告に記載した日時までにその結果が明らかでないときは、売却決定日時及び買受代金納付期限を変更（延長）する場合がありますので、ご了承ください。</w:t>
            </w:r>
          </w:p>
        </w:tc>
      </w:tr>
    </w:tbl>
    <w:p w14:paraId="71B4383F" w14:textId="77777777" w:rsidR="00352F51" w:rsidRPr="005A2D01" w:rsidRDefault="00352F51" w:rsidP="00E434CF">
      <w:pPr>
        <w:snapToGrid w:val="0"/>
        <w:rPr>
          <w:rFonts w:asciiTheme="majorEastAsia" w:hAnsiTheme="majorEastAsia"/>
        </w:rPr>
      </w:pPr>
    </w:p>
    <w:sectPr w:rsidR="00352F51" w:rsidRPr="005A2D01" w:rsidSect="004E3B3E">
      <w:footerReference w:type="default" r:id="rId8"/>
      <w:pgSz w:w="11906" w:h="16838" w:code="9"/>
      <w:pgMar w:top="851" w:right="720" w:bottom="851" w:left="1134" w:header="851" w:footer="284" w:gutter="0"/>
      <w:pgNumType w:start="1"/>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74A1" w14:textId="77777777" w:rsidR="00634DC5" w:rsidRDefault="00634DC5" w:rsidP="00485B2F">
      <w:r>
        <w:separator/>
      </w:r>
    </w:p>
  </w:endnote>
  <w:endnote w:type="continuationSeparator" w:id="0">
    <w:p w14:paraId="211196C8" w14:textId="77777777" w:rsidR="00634DC5" w:rsidRDefault="00634DC5" w:rsidP="0048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849"/>
      <w:docPartObj>
        <w:docPartGallery w:val="Page Numbers (Bottom of Page)"/>
        <w:docPartUnique/>
      </w:docPartObj>
    </w:sdtPr>
    <w:sdtEndPr/>
    <w:sdtContent>
      <w:p w14:paraId="2EC927F1" w14:textId="77777777" w:rsidR="004E3B3E" w:rsidRDefault="004E3B3E">
        <w:pPr>
          <w:pStyle w:val="aa"/>
          <w:jc w:val="center"/>
        </w:pPr>
        <w:r>
          <w:fldChar w:fldCharType="begin"/>
        </w:r>
        <w:r>
          <w:instrText>PAGE   \* MERGEFORMAT</w:instrText>
        </w:r>
        <w:r>
          <w:fldChar w:fldCharType="separate"/>
        </w:r>
        <w:r w:rsidR="00F84131" w:rsidRPr="00F84131">
          <w:rPr>
            <w:noProof/>
            <w:lang w:val="ja-JP"/>
          </w:rPr>
          <w:t>4</w:t>
        </w:r>
        <w:r>
          <w:fldChar w:fldCharType="end"/>
        </w:r>
      </w:p>
    </w:sdtContent>
  </w:sdt>
  <w:p w14:paraId="760E2310" w14:textId="77777777" w:rsidR="00187FCB" w:rsidRDefault="00187FC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CEB6" w14:textId="77777777" w:rsidR="00634DC5" w:rsidRDefault="00634DC5" w:rsidP="00485B2F">
      <w:r>
        <w:separator/>
      </w:r>
    </w:p>
  </w:footnote>
  <w:footnote w:type="continuationSeparator" w:id="0">
    <w:p w14:paraId="7A063078" w14:textId="77777777" w:rsidR="00634DC5" w:rsidRDefault="00634DC5" w:rsidP="00485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315"/>
    <w:multiLevelType w:val="hybridMultilevel"/>
    <w:tmpl w:val="14AE9B38"/>
    <w:lvl w:ilvl="0" w:tplc="D9B44F06">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6906E5D"/>
    <w:multiLevelType w:val="hybridMultilevel"/>
    <w:tmpl w:val="3D288D6C"/>
    <w:lvl w:ilvl="0" w:tplc="10D2CD3E">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 w15:restartNumberingAfterBreak="0">
    <w:nsid w:val="07DF1834"/>
    <w:multiLevelType w:val="hybridMultilevel"/>
    <w:tmpl w:val="A712F520"/>
    <w:lvl w:ilvl="0" w:tplc="2898BBAE">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121DC"/>
    <w:multiLevelType w:val="hybridMultilevel"/>
    <w:tmpl w:val="2C620C5C"/>
    <w:lvl w:ilvl="0" w:tplc="FEB030CA">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 w15:restartNumberingAfterBreak="0">
    <w:nsid w:val="18023C8E"/>
    <w:multiLevelType w:val="hybridMultilevel"/>
    <w:tmpl w:val="A4A2522A"/>
    <w:lvl w:ilvl="0" w:tplc="842280F8">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4D51BF"/>
    <w:multiLevelType w:val="hybridMultilevel"/>
    <w:tmpl w:val="D16A837A"/>
    <w:lvl w:ilvl="0" w:tplc="1C9852C6">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EE161D"/>
    <w:multiLevelType w:val="hybridMultilevel"/>
    <w:tmpl w:val="01B4BD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16568"/>
    <w:multiLevelType w:val="hybridMultilevel"/>
    <w:tmpl w:val="19EA8192"/>
    <w:lvl w:ilvl="0" w:tplc="F55EDFD2">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8" w15:restartNumberingAfterBreak="0">
    <w:nsid w:val="3D9A7258"/>
    <w:multiLevelType w:val="hybridMultilevel"/>
    <w:tmpl w:val="2C620C5C"/>
    <w:lvl w:ilvl="0" w:tplc="FEB030CA">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3FA27BDC"/>
    <w:multiLevelType w:val="hybridMultilevel"/>
    <w:tmpl w:val="49D03A36"/>
    <w:lvl w:ilvl="0" w:tplc="FA58C9F4">
      <w:start w:val="1"/>
      <w:numFmt w:val="decimal"/>
      <w:lvlText w:val="%1"/>
      <w:lvlJc w:val="left"/>
      <w:pPr>
        <w:ind w:left="668" w:hanging="420"/>
      </w:pPr>
      <w:rPr>
        <w:rFonts w:hint="eastAsia"/>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D62521"/>
    <w:multiLevelType w:val="hybridMultilevel"/>
    <w:tmpl w:val="F45E7208"/>
    <w:lvl w:ilvl="0" w:tplc="FA58C9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E4240B"/>
    <w:multiLevelType w:val="hybridMultilevel"/>
    <w:tmpl w:val="408CC266"/>
    <w:lvl w:ilvl="0" w:tplc="842280F8">
      <w:start w:val="1"/>
      <w:numFmt w:val="decimal"/>
      <w:suff w:val="space"/>
      <w:lvlText w:val="%1"/>
      <w:lvlJc w:val="left"/>
      <w:pPr>
        <w:ind w:left="170" w:hanging="17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4B0B21"/>
    <w:multiLevelType w:val="hybridMultilevel"/>
    <w:tmpl w:val="427617D4"/>
    <w:lvl w:ilvl="0" w:tplc="B26A35D2">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3" w15:restartNumberingAfterBreak="0">
    <w:nsid w:val="67C52D53"/>
    <w:multiLevelType w:val="hybridMultilevel"/>
    <w:tmpl w:val="FB84BCE2"/>
    <w:lvl w:ilvl="0" w:tplc="72C21E18">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4B584F"/>
    <w:multiLevelType w:val="hybridMultilevel"/>
    <w:tmpl w:val="C406B70E"/>
    <w:lvl w:ilvl="0" w:tplc="12BC19A8">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14"/>
  </w:num>
  <w:num w:numId="4">
    <w:abstractNumId w:val="6"/>
  </w:num>
  <w:num w:numId="5">
    <w:abstractNumId w:val="10"/>
  </w:num>
  <w:num w:numId="6">
    <w:abstractNumId w:val="2"/>
  </w:num>
  <w:num w:numId="7">
    <w:abstractNumId w:val="5"/>
  </w:num>
  <w:num w:numId="8">
    <w:abstractNumId w:val="1"/>
  </w:num>
  <w:num w:numId="9">
    <w:abstractNumId w:val="0"/>
  </w:num>
  <w:num w:numId="10">
    <w:abstractNumId w:val="12"/>
  </w:num>
  <w:num w:numId="11">
    <w:abstractNumId w:val="3"/>
  </w:num>
  <w:num w:numId="12">
    <w:abstractNumId w:val="9"/>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A3C"/>
    <w:rsid w:val="00010603"/>
    <w:rsid w:val="0001297B"/>
    <w:rsid w:val="00020B04"/>
    <w:rsid w:val="00023EF9"/>
    <w:rsid w:val="000261D2"/>
    <w:rsid w:val="0004042B"/>
    <w:rsid w:val="000409FC"/>
    <w:rsid w:val="00045728"/>
    <w:rsid w:val="00062E5A"/>
    <w:rsid w:val="0007581C"/>
    <w:rsid w:val="00084645"/>
    <w:rsid w:val="00085E86"/>
    <w:rsid w:val="00092BB5"/>
    <w:rsid w:val="000C25D7"/>
    <w:rsid w:val="000C4104"/>
    <w:rsid w:val="000D0EBB"/>
    <w:rsid w:val="000D71C0"/>
    <w:rsid w:val="000E4FBD"/>
    <w:rsid w:val="001121E5"/>
    <w:rsid w:val="00112251"/>
    <w:rsid w:val="00115013"/>
    <w:rsid w:val="00115384"/>
    <w:rsid w:val="00123E52"/>
    <w:rsid w:val="00126446"/>
    <w:rsid w:val="0013516C"/>
    <w:rsid w:val="001467AF"/>
    <w:rsid w:val="00150BC6"/>
    <w:rsid w:val="001600A0"/>
    <w:rsid w:val="00170B45"/>
    <w:rsid w:val="001749A1"/>
    <w:rsid w:val="0017768C"/>
    <w:rsid w:val="00180C4A"/>
    <w:rsid w:val="00182412"/>
    <w:rsid w:val="00185A3C"/>
    <w:rsid w:val="00187FCB"/>
    <w:rsid w:val="00193671"/>
    <w:rsid w:val="001A1311"/>
    <w:rsid w:val="001C0082"/>
    <w:rsid w:val="001D1ADD"/>
    <w:rsid w:val="001E4732"/>
    <w:rsid w:val="001F2841"/>
    <w:rsid w:val="001F34A2"/>
    <w:rsid w:val="00202119"/>
    <w:rsid w:val="00203BF8"/>
    <w:rsid w:val="00203D45"/>
    <w:rsid w:val="00233931"/>
    <w:rsid w:val="0025211E"/>
    <w:rsid w:val="00252CF8"/>
    <w:rsid w:val="00254748"/>
    <w:rsid w:val="00267972"/>
    <w:rsid w:val="00271A4F"/>
    <w:rsid w:val="00282E18"/>
    <w:rsid w:val="002846C9"/>
    <w:rsid w:val="00294C93"/>
    <w:rsid w:val="00296FBC"/>
    <w:rsid w:val="002B0F4D"/>
    <w:rsid w:val="002B641D"/>
    <w:rsid w:val="002D2611"/>
    <w:rsid w:val="002D2AC0"/>
    <w:rsid w:val="002D7E1D"/>
    <w:rsid w:val="002E1ACE"/>
    <w:rsid w:val="002F2EBF"/>
    <w:rsid w:val="00331ADB"/>
    <w:rsid w:val="00332B64"/>
    <w:rsid w:val="003333FC"/>
    <w:rsid w:val="0034439C"/>
    <w:rsid w:val="00347054"/>
    <w:rsid w:val="003506B0"/>
    <w:rsid w:val="00351E39"/>
    <w:rsid w:val="00352F51"/>
    <w:rsid w:val="00365486"/>
    <w:rsid w:val="003A091B"/>
    <w:rsid w:val="003A20BA"/>
    <w:rsid w:val="003A7DB4"/>
    <w:rsid w:val="003B235D"/>
    <w:rsid w:val="003B6601"/>
    <w:rsid w:val="003D0B55"/>
    <w:rsid w:val="003D46BB"/>
    <w:rsid w:val="003E3BD9"/>
    <w:rsid w:val="003F60C7"/>
    <w:rsid w:val="00401377"/>
    <w:rsid w:val="00415105"/>
    <w:rsid w:val="004162B4"/>
    <w:rsid w:val="00416FB2"/>
    <w:rsid w:val="00423A9C"/>
    <w:rsid w:val="00430032"/>
    <w:rsid w:val="00445FC7"/>
    <w:rsid w:val="00446F8F"/>
    <w:rsid w:val="00450F9A"/>
    <w:rsid w:val="00455B32"/>
    <w:rsid w:val="00477E4B"/>
    <w:rsid w:val="00485B2F"/>
    <w:rsid w:val="0048773E"/>
    <w:rsid w:val="004930E9"/>
    <w:rsid w:val="004C57F9"/>
    <w:rsid w:val="004C5838"/>
    <w:rsid w:val="004E1A7F"/>
    <w:rsid w:val="004E3B3E"/>
    <w:rsid w:val="004E6D54"/>
    <w:rsid w:val="004F056D"/>
    <w:rsid w:val="00507DF7"/>
    <w:rsid w:val="0051160E"/>
    <w:rsid w:val="00516352"/>
    <w:rsid w:val="00516CA7"/>
    <w:rsid w:val="00523008"/>
    <w:rsid w:val="0053302F"/>
    <w:rsid w:val="0053320F"/>
    <w:rsid w:val="0055259F"/>
    <w:rsid w:val="0055421B"/>
    <w:rsid w:val="00554BC1"/>
    <w:rsid w:val="005578CB"/>
    <w:rsid w:val="005624E6"/>
    <w:rsid w:val="005902A2"/>
    <w:rsid w:val="00593E32"/>
    <w:rsid w:val="005A2D01"/>
    <w:rsid w:val="005A31EC"/>
    <w:rsid w:val="005B2F66"/>
    <w:rsid w:val="005C6F11"/>
    <w:rsid w:val="005D6492"/>
    <w:rsid w:val="005D7BB4"/>
    <w:rsid w:val="005E0E8F"/>
    <w:rsid w:val="00613516"/>
    <w:rsid w:val="00615D2F"/>
    <w:rsid w:val="0061606F"/>
    <w:rsid w:val="00634DC5"/>
    <w:rsid w:val="006429EF"/>
    <w:rsid w:val="00647CB1"/>
    <w:rsid w:val="00651D0F"/>
    <w:rsid w:val="006717FE"/>
    <w:rsid w:val="00675F03"/>
    <w:rsid w:val="0068324E"/>
    <w:rsid w:val="0069428B"/>
    <w:rsid w:val="00697DF6"/>
    <w:rsid w:val="006E7F07"/>
    <w:rsid w:val="006F3CBF"/>
    <w:rsid w:val="0070115D"/>
    <w:rsid w:val="00711D0B"/>
    <w:rsid w:val="00716415"/>
    <w:rsid w:val="00716B02"/>
    <w:rsid w:val="007216DF"/>
    <w:rsid w:val="00732C05"/>
    <w:rsid w:val="00745FDD"/>
    <w:rsid w:val="00747782"/>
    <w:rsid w:val="007506D8"/>
    <w:rsid w:val="0076140E"/>
    <w:rsid w:val="00765AEB"/>
    <w:rsid w:val="00765ECA"/>
    <w:rsid w:val="007663B0"/>
    <w:rsid w:val="007676B9"/>
    <w:rsid w:val="00770180"/>
    <w:rsid w:val="00780858"/>
    <w:rsid w:val="00781476"/>
    <w:rsid w:val="00784A54"/>
    <w:rsid w:val="00786156"/>
    <w:rsid w:val="00792C1A"/>
    <w:rsid w:val="007A000D"/>
    <w:rsid w:val="007B1A71"/>
    <w:rsid w:val="00801726"/>
    <w:rsid w:val="00802870"/>
    <w:rsid w:val="00803843"/>
    <w:rsid w:val="00807119"/>
    <w:rsid w:val="00812932"/>
    <w:rsid w:val="00823506"/>
    <w:rsid w:val="00826DC5"/>
    <w:rsid w:val="00844A36"/>
    <w:rsid w:val="008605A5"/>
    <w:rsid w:val="00864338"/>
    <w:rsid w:val="00867CE2"/>
    <w:rsid w:val="00874135"/>
    <w:rsid w:val="00881C19"/>
    <w:rsid w:val="00882CF6"/>
    <w:rsid w:val="00891EB2"/>
    <w:rsid w:val="008941EF"/>
    <w:rsid w:val="008A71E5"/>
    <w:rsid w:val="008B782A"/>
    <w:rsid w:val="008C4F5A"/>
    <w:rsid w:val="008D3AEE"/>
    <w:rsid w:val="008D4B6D"/>
    <w:rsid w:val="008E0244"/>
    <w:rsid w:val="008F5BD1"/>
    <w:rsid w:val="009017BE"/>
    <w:rsid w:val="0091023C"/>
    <w:rsid w:val="009154D2"/>
    <w:rsid w:val="00931AAC"/>
    <w:rsid w:val="00931B20"/>
    <w:rsid w:val="00935CFB"/>
    <w:rsid w:val="0093641F"/>
    <w:rsid w:val="00942B1C"/>
    <w:rsid w:val="009465C1"/>
    <w:rsid w:val="00961AB5"/>
    <w:rsid w:val="00967E74"/>
    <w:rsid w:val="009835CF"/>
    <w:rsid w:val="009850D5"/>
    <w:rsid w:val="009963CF"/>
    <w:rsid w:val="009A702A"/>
    <w:rsid w:val="009A77C2"/>
    <w:rsid w:val="009C5B87"/>
    <w:rsid w:val="009D0143"/>
    <w:rsid w:val="009E643C"/>
    <w:rsid w:val="009F1A93"/>
    <w:rsid w:val="009F66D7"/>
    <w:rsid w:val="009F6CF9"/>
    <w:rsid w:val="00A06E13"/>
    <w:rsid w:val="00A12CC9"/>
    <w:rsid w:val="00A16277"/>
    <w:rsid w:val="00A21B31"/>
    <w:rsid w:val="00A246F6"/>
    <w:rsid w:val="00A24BF1"/>
    <w:rsid w:val="00A26ED7"/>
    <w:rsid w:val="00A34717"/>
    <w:rsid w:val="00A412D0"/>
    <w:rsid w:val="00A429D5"/>
    <w:rsid w:val="00A52871"/>
    <w:rsid w:val="00A53875"/>
    <w:rsid w:val="00A75EF1"/>
    <w:rsid w:val="00A827B9"/>
    <w:rsid w:val="00A82BE7"/>
    <w:rsid w:val="00A94CC1"/>
    <w:rsid w:val="00A96843"/>
    <w:rsid w:val="00AA53B8"/>
    <w:rsid w:val="00AC0CC1"/>
    <w:rsid w:val="00AC119D"/>
    <w:rsid w:val="00AC1EF6"/>
    <w:rsid w:val="00AD74FF"/>
    <w:rsid w:val="00AE1087"/>
    <w:rsid w:val="00AE2202"/>
    <w:rsid w:val="00AF7199"/>
    <w:rsid w:val="00B17893"/>
    <w:rsid w:val="00B253DC"/>
    <w:rsid w:val="00B31E63"/>
    <w:rsid w:val="00B36EFF"/>
    <w:rsid w:val="00B377BE"/>
    <w:rsid w:val="00B4051D"/>
    <w:rsid w:val="00B411B0"/>
    <w:rsid w:val="00B5485B"/>
    <w:rsid w:val="00B57762"/>
    <w:rsid w:val="00B61653"/>
    <w:rsid w:val="00B834E1"/>
    <w:rsid w:val="00B96809"/>
    <w:rsid w:val="00B96A05"/>
    <w:rsid w:val="00BB32EE"/>
    <w:rsid w:val="00BB673D"/>
    <w:rsid w:val="00BC0F68"/>
    <w:rsid w:val="00BD4DB4"/>
    <w:rsid w:val="00BD7211"/>
    <w:rsid w:val="00BE0CA1"/>
    <w:rsid w:val="00BF053F"/>
    <w:rsid w:val="00BF19FD"/>
    <w:rsid w:val="00BF4D61"/>
    <w:rsid w:val="00BF701D"/>
    <w:rsid w:val="00C07E76"/>
    <w:rsid w:val="00C105CD"/>
    <w:rsid w:val="00C3224A"/>
    <w:rsid w:val="00C37F31"/>
    <w:rsid w:val="00C413BD"/>
    <w:rsid w:val="00C53749"/>
    <w:rsid w:val="00C55D18"/>
    <w:rsid w:val="00C56616"/>
    <w:rsid w:val="00C75B1C"/>
    <w:rsid w:val="00C77328"/>
    <w:rsid w:val="00C80E84"/>
    <w:rsid w:val="00C82B7A"/>
    <w:rsid w:val="00C83F79"/>
    <w:rsid w:val="00C853DE"/>
    <w:rsid w:val="00C872BF"/>
    <w:rsid w:val="00C902A1"/>
    <w:rsid w:val="00C90653"/>
    <w:rsid w:val="00C95398"/>
    <w:rsid w:val="00CA5FB7"/>
    <w:rsid w:val="00CB360B"/>
    <w:rsid w:val="00CB64DB"/>
    <w:rsid w:val="00CC6376"/>
    <w:rsid w:val="00CD48CC"/>
    <w:rsid w:val="00CF5BD1"/>
    <w:rsid w:val="00CF6EB8"/>
    <w:rsid w:val="00D060D6"/>
    <w:rsid w:val="00D1621B"/>
    <w:rsid w:val="00D210D2"/>
    <w:rsid w:val="00D21D8F"/>
    <w:rsid w:val="00D226CE"/>
    <w:rsid w:val="00D235F8"/>
    <w:rsid w:val="00D31B40"/>
    <w:rsid w:val="00D40C8B"/>
    <w:rsid w:val="00D44079"/>
    <w:rsid w:val="00D551E4"/>
    <w:rsid w:val="00D83802"/>
    <w:rsid w:val="00D8751A"/>
    <w:rsid w:val="00DB1393"/>
    <w:rsid w:val="00DB7C05"/>
    <w:rsid w:val="00DC2EB1"/>
    <w:rsid w:val="00DE4C5B"/>
    <w:rsid w:val="00DF1710"/>
    <w:rsid w:val="00DF6363"/>
    <w:rsid w:val="00E05F24"/>
    <w:rsid w:val="00E07599"/>
    <w:rsid w:val="00E11304"/>
    <w:rsid w:val="00E11940"/>
    <w:rsid w:val="00E11B7F"/>
    <w:rsid w:val="00E12377"/>
    <w:rsid w:val="00E16E95"/>
    <w:rsid w:val="00E17CC9"/>
    <w:rsid w:val="00E21C6C"/>
    <w:rsid w:val="00E2215B"/>
    <w:rsid w:val="00E24FC6"/>
    <w:rsid w:val="00E434CF"/>
    <w:rsid w:val="00E444A0"/>
    <w:rsid w:val="00E45FFE"/>
    <w:rsid w:val="00E51D84"/>
    <w:rsid w:val="00E534FE"/>
    <w:rsid w:val="00E65CF6"/>
    <w:rsid w:val="00E840F5"/>
    <w:rsid w:val="00E968F3"/>
    <w:rsid w:val="00EA0E53"/>
    <w:rsid w:val="00EA5B65"/>
    <w:rsid w:val="00EA7832"/>
    <w:rsid w:val="00EB5B97"/>
    <w:rsid w:val="00EC068C"/>
    <w:rsid w:val="00EF2B35"/>
    <w:rsid w:val="00F46316"/>
    <w:rsid w:val="00F50C45"/>
    <w:rsid w:val="00F825D4"/>
    <w:rsid w:val="00F84131"/>
    <w:rsid w:val="00FB226B"/>
    <w:rsid w:val="00FC10C6"/>
    <w:rsid w:val="00FC6EAB"/>
    <w:rsid w:val="00FE0049"/>
    <w:rsid w:val="00FE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229AB3"/>
  <w15:docId w15:val="{8D538671-C6CB-4561-988A-62102390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53F"/>
    <w:pPr>
      <w:widowControl w:val="0"/>
      <w:jc w:val="both"/>
    </w:pPr>
    <w:rPr>
      <w:rFonts w:eastAsiaTheme="majorEastAsia"/>
    </w:rPr>
  </w:style>
  <w:style w:type="paragraph" w:styleId="1">
    <w:name w:val="heading 1"/>
    <w:basedOn w:val="a"/>
    <w:next w:val="a"/>
    <w:link w:val="10"/>
    <w:uiPriority w:val="9"/>
    <w:qFormat/>
    <w:rsid w:val="00DE4C5B"/>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uiPriority w:val="99"/>
    <w:semiHidden/>
    <w:unhideWhenUsed/>
    <w:rsid w:val="00B96809"/>
    <w:pPr>
      <w:snapToGrid w:val="0"/>
    </w:pPr>
    <w:rPr>
      <w:rFonts w:asciiTheme="majorHAnsi" w:hAnsiTheme="majorHAnsi" w:cstheme="majorBidi"/>
      <w:vertAlign w:val="superscript"/>
    </w:rPr>
  </w:style>
  <w:style w:type="character" w:customStyle="1" w:styleId="10">
    <w:name w:val="見出し 1 (文字)"/>
    <w:basedOn w:val="a0"/>
    <w:link w:val="1"/>
    <w:uiPriority w:val="9"/>
    <w:rsid w:val="00DE4C5B"/>
    <w:rPr>
      <w:rFonts w:asciiTheme="majorHAnsi" w:eastAsiaTheme="majorEastAsia" w:hAnsiTheme="majorHAnsi" w:cstheme="majorBidi"/>
      <w:sz w:val="24"/>
      <w:szCs w:val="24"/>
    </w:rPr>
  </w:style>
  <w:style w:type="table" w:styleId="a4">
    <w:name w:val="Table Grid"/>
    <w:basedOn w:val="a1"/>
    <w:uiPriority w:val="59"/>
    <w:rsid w:val="00BF0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F053F"/>
    <w:pPr>
      <w:ind w:leftChars="400" w:left="840"/>
    </w:pPr>
  </w:style>
  <w:style w:type="paragraph" w:styleId="a6">
    <w:name w:val="Balloon Text"/>
    <w:basedOn w:val="a"/>
    <w:link w:val="a7"/>
    <w:uiPriority w:val="99"/>
    <w:semiHidden/>
    <w:unhideWhenUsed/>
    <w:rsid w:val="00045728"/>
    <w:rPr>
      <w:rFonts w:asciiTheme="majorHAnsi" w:hAnsiTheme="majorHAnsi" w:cstheme="majorBidi"/>
      <w:sz w:val="18"/>
      <w:szCs w:val="18"/>
    </w:rPr>
  </w:style>
  <w:style w:type="character" w:customStyle="1" w:styleId="a7">
    <w:name w:val="吹き出し (文字)"/>
    <w:basedOn w:val="a0"/>
    <w:link w:val="a6"/>
    <w:uiPriority w:val="99"/>
    <w:semiHidden/>
    <w:rsid w:val="00045728"/>
    <w:rPr>
      <w:rFonts w:asciiTheme="majorHAnsi" w:eastAsiaTheme="majorEastAsia" w:hAnsiTheme="majorHAnsi" w:cstheme="majorBidi"/>
      <w:sz w:val="18"/>
      <w:szCs w:val="18"/>
    </w:rPr>
  </w:style>
  <w:style w:type="paragraph" w:styleId="a8">
    <w:name w:val="header"/>
    <w:basedOn w:val="a"/>
    <w:link w:val="a9"/>
    <w:uiPriority w:val="99"/>
    <w:unhideWhenUsed/>
    <w:rsid w:val="00485B2F"/>
    <w:pPr>
      <w:tabs>
        <w:tab w:val="center" w:pos="4252"/>
        <w:tab w:val="right" w:pos="8504"/>
      </w:tabs>
      <w:snapToGrid w:val="0"/>
    </w:pPr>
  </w:style>
  <w:style w:type="character" w:customStyle="1" w:styleId="a9">
    <w:name w:val="ヘッダー (文字)"/>
    <w:basedOn w:val="a0"/>
    <w:link w:val="a8"/>
    <w:uiPriority w:val="99"/>
    <w:rsid w:val="00485B2F"/>
    <w:rPr>
      <w:rFonts w:eastAsiaTheme="majorEastAsia"/>
    </w:rPr>
  </w:style>
  <w:style w:type="paragraph" w:styleId="aa">
    <w:name w:val="footer"/>
    <w:basedOn w:val="a"/>
    <w:link w:val="ab"/>
    <w:uiPriority w:val="99"/>
    <w:unhideWhenUsed/>
    <w:rsid w:val="00485B2F"/>
    <w:pPr>
      <w:tabs>
        <w:tab w:val="center" w:pos="4252"/>
        <w:tab w:val="right" w:pos="8504"/>
      </w:tabs>
      <w:snapToGrid w:val="0"/>
    </w:pPr>
  </w:style>
  <w:style w:type="character" w:customStyle="1" w:styleId="ab">
    <w:name w:val="フッター (文字)"/>
    <w:basedOn w:val="a0"/>
    <w:link w:val="aa"/>
    <w:uiPriority w:val="99"/>
    <w:rsid w:val="00485B2F"/>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B0AA-74A6-4CD0-BC9C-9A933D98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総務部税務室税政課</dc:creator>
  <cp:lastModifiedBy>指方　真実</cp:lastModifiedBy>
  <cp:revision>33</cp:revision>
  <cp:lastPrinted>2023-12-25T04:14:00Z</cp:lastPrinted>
  <dcterms:created xsi:type="dcterms:W3CDTF">2021-10-13T02:40:00Z</dcterms:created>
  <dcterms:modified xsi:type="dcterms:W3CDTF">2024-07-03T02:44:00Z</dcterms:modified>
</cp:coreProperties>
</file>