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C4012" w14:textId="29FF9E56" w:rsidR="008F14E0" w:rsidRPr="004C78D4" w:rsidRDefault="007F3428" w:rsidP="003801CE">
      <w:pPr>
        <w:jc w:val="center"/>
      </w:pPr>
      <w:r w:rsidRPr="003C576A">
        <w:rPr>
          <w:rFonts w:ascii="ＭＳ Ｐゴシック" w:eastAsia="ＭＳ Ｐゴシック" w:hAnsi="ＭＳ Ｐゴシック"/>
          <w:noProof/>
          <w:color w:val="000000" w:themeColor="text1"/>
          <w:sz w:val="26"/>
          <w:szCs w:val="26"/>
        </w:rPr>
        <mc:AlternateContent>
          <mc:Choice Requires="wps">
            <w:drawing>
              <wp:anchor distT="45720" distB="45720" distL="114300" distR="114300" simplePos="0" relativeHeight="251659264" behindDoc="0" locked="0" layoutInCell="1" allowOverlap="1" wp14:anchorId="4E6A10E0" wp14:editId="45F4452A">
                <wp:simplePos x="0" y="0"/>
                <wp:positionH relativeFrom="column">
                  <wp:posOffset>5131435</wp:posOffset>
                </wp:positionH>
                <wp:positionV relativeFrom="paragraph">
                  <wp:posOffset>-595952</wp:posOffset>
                </wp:positionV>
                <wp:extent cx="989965" cy="400050"/>
                <wp:effectExtent l="0" t="0" r="1968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400050"/>
                        </a:xfrm>
                        <a:prstGeom prst="rect">
                          <a:avLst/>
                        </a:prstGeom>
                        <a:solidFill>
                          <a:srgbClr val="FFFFFF"/>
                        </a:solidFill>
                        <a:ln w="19050">
                          <a:solidFill>
                            <a:schemeClr val="tx1"/>
                          </a:solidFill>
                          <a:miter lim="800000"/>
                          <a:headEnd/>
                          <a:tailEnd/>
                        </a:ln>
                      </wps:spPr>
                      <wps:txbx>
                        <w:txbxContent>
                          <w:p w14:paraId="1A376822" w14:textId="7698908B" w:rsidR="007F3428" w:rsidRPr="00662B47" w:rsidRDefault="007F3428" w:rsidP="007F3428">
                            <w:pPr>
                              <w:snapToGrid w:val="0"/>
                              <w:ind w:left="525" w:hangingChars="200" w:hanging="525"/>
                              <w:jc w:val="center"/>
                              <w:rPr>
                                <w:rFonts w:ascii="ＭＳ Ｐゴシック" w:eastAsia="ＭＳ Ｐゴシック" w:hAnsi="ＭＳ Ｐゴシック"/>
                                <w:color w:val="FF0000"/>
                                <w:sz w:val="28"/>
                                <w:szCs w:val="28"/>
                              </w:rPr>
                            </w:pPr>
                            <w:r w:rsidRPr="009B2206">
                              <w:rPr>
                                <w:rFonts w:ascii="ＭＳ Ｐゴシック" w:eastAsia="ＭＳ Ｐゴシック" w:hAnsi="ＭＳ Ｐゴシック" w:hint="eastAsia"/>
                                <w:sz w:val="28"/>
                                <w:szCs w:val="28"/>
                              </w:rPr>
                              <w:t>資料</w:t>
                            </w:r>
                            <w:r>
                              <w:rPr>
                                <w:rFonts w:ascii="ＭＳ Ｐゴシック" w:eastAsia="ＭＳ Ｐゴシック" w:hAnsi="ＭＳ Ｐゴシック" w:hint="eastAsia"/>
                                <w:sz w:val="28"/>
                                <w:szCs w:val="28"/>
                              </w:rPr>
                              <w:t>３</w:t>
                            </w:r>
                            <w:r>
                              <w:rPr>
                                <w:rFonts w:ascii="ＭＳ Ｐゴシック" w:eastAsia="ＭＳ Ｐゴシック" w:hAnsi="ＭＳ Ｐゴシック" w:hint="eastAsia"/>
                                <w:sz w:val="28"/>
                                <w:szCs w:val="28"/>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A10E0" id="_x0000_t202" coordsize="21600,21600" o:spt="202" path="m,l,21600r21600,l21600,xe">
                <v:stroke joinstyle="miter"/>
                <v:path gradientshapeok="t" o:connecttype="rect"/>
              </v:shapetype>
              <v:shape id="テキスト ボックス 2" o:spid="_x0000_s1026" type="#_x0000_t202" style="position:absolute;left:0;text-align:left;margin-left:404.05pt;margin-top:-46.95pt;width:77.9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" strokecolor="black [3213]" strokeweight="1.5pt">
                <v:textbox>
                  <w:txbxContent>
                    <w:p w14:paraId="1A376822" w14:textId="7698908B" w:rsidR="007F3428" w:rsidRPr="00662B47" w:rsidRDefault="007F3428" w:rsidP="007F3428">
                      <w:pPr>
                        <w:snapToGrid w:val="0"/>
                        <w:ind w:left="525" w:hangingChars="200" w:hanging="525"/>
                        <w:jc w:val="center"/>
                        <w:rPr>
                          <w:rFonts w:ascii="ＭＳ Ｐゴシック" w:eastAsia="ＭＳ Ｐゴシック" w:hAnsi="ＭＳ Ｐゴシック"/>
                          <w:color w:val="FF0000"/>
                          <w:sz w:val="28"/>
                          <w:szCs w:val="28"/>
                        </w:rPr>
                      </w:pPr>
                      <w:r w:rsidRPr="009B2206">
                        <w:rPr>
                          <w:rFonts w:ascii="ＭＳ Ｐゴシック" w:eastAsia="ＭＳ Ｐゴシック" w:hAnsi="ＭＳ Ｐゴシック" w:hint="eastAsia"/>
                          <w:sz w:val="28"/>
                          <w:szCs w:val="28"/>
                        </w:rPr>
                        <w:t>資料</w:t>
                      </w:r>
                      <w:r>
                        <w:rPr>
                          <w:rFonts w:ascii="ＭＳ Ｐゴシック" w:eastAsia="ＭＳ Ｐゴシック" w:hAnsi="ＭＳ Ｐゴシック" w:hint="eastAsia"/>
                          <w:sz w:val="28"/>
                          <w:szCs w:val="28"/>
                        </w:rPr>
                        <w:t>３</w:t>
                      </w:r>
                      <w:r>
                        <w:rPr>
                          <w:rFonts w:ascii="ＭＳ Ｐゴシック" w:eastAsia="ＭＳ Ｐゴシック" w:hAnsi="ＭＳ Ｐゴシック" w:hint="eastAsia"/>
                          <w:sz w:val="28"/>
                          <w:szCs w:val="28"/>
                        </w:rPr>
                        <w:t>－１</w:t>
                      </w:r>
                    </w:p>
                  </w:txbxContent>
                </v:textbox>
              </v:shape>
            </w:pict>
          </mc:Fallback>
        </mc:AlternateContent>
      </w:r>
      <w:r w:rsidR="004A025C">
        <w:rPr>
          <w:rFonts w:hint="eastAsia"/>
        </w:rPr>
        <w:t>地下水質常</w:t>
      </w:r>
      <w:r w:rsidR="004A025C" w:rsidRPr="004C78D4">
        <w:rPr>
          <w:rFonts w:hint="eastAsia"/>
        </w:rPr>
        <w:t>時監視の継続監視調査における自然由来汚染地点の取扱い</w:t>
      </w:r>
      <w:r w:rsidR="008F14E0" w:rsidRPr="004C78D4">
        <w:rPr>
          <w:rFonts w:hint="eastAsia"/>
        </w:rPr>
        <w:t>について</w:t>
      </w:r>
      <w:bookmarkStart w:id="0" w:name="_GoBack"/>
      <w:bookmarkEnd w:id="0"/>
    </w:p>
    <w:p w14:paraId="5CE2A484" w14:textId="69AE1D6C" w:rsidR="008F14E0" w:rsidRPr="004C78D4" w:rsidRDefault="008F14E0"/>
    <w:p w14:paraId="57ABB5AA" w14:textId="77777777" w:rsidR="00F67A15" w:rsidRPr="003801CE" w:rsidRDefault="00F67A15"/>
    <w:p w14:paraId="1AB48711" w14:textId="2C0DA3FE" w:rsidR="00DB3B52" w:rsidRDefault="008F14E0" w:rsidP="00DB3B52">
      <w:r w:rsidRPr="004C78D4">
        <w:rPr>
          <w:rFonts w:hint="eastAsia"/>
        </w:rPr>
        <w:t>【</w:t>
      </w:r>
      <w:r w:rsidR="007864E5" w:rsidRPr="004C78D4">
        <w:rPr>
          <w:rFonts w:hint="eastAsia"/>
        </w:rPr>
        <w:t>概要</w:t>
      </w:r>
      <w:r w:rsidRPr="004C78D4">
        <w:rPr>
          <w:rFonts w:hint="eastAsia"/>
        </w:rPr>
        <w:t>】</w:t>
      </w:r>
    </w:p>
    <w:p w14:paraId="34606642" w14:textId="01BCDC61" w:rsidR="00120F09" w:rsidRPr="008F24DA" w:rsidRDefault="00DF62E6" w:rsidP="00120F09">
      <w:pPr>
        <w:ind w:leftChars="100" w:left="202" w:firstLineChars="100" w:firstLine="202"/>
      </w:pPr>
      <w:r w:rsidRPr="008F24DA">
        <w:rPr>
          <w:rFonts w:hint="eastAsia"/>
        </w:rPr>
        <w:t>自然由来の地下水汚染については、長期的に一定濃度の検出が想定される</w:t>
      </w:r>
      <w:r w:rsidR="00A57747" w:rsidRPr="008F24DA">
        <w:rPr>
          <w:rFonts w:hint="eastAsia"/>
        </w:rPr>
        <w:t>ことから、平成31年１月の水質部会において、</w:t>
      </w:r>
      <w:r w:rsidR="00120F09" w:rsidRPr="008F24DA">
        <w:rPr>
          <w:rFonts w:hint="eastAsia"/>
        </w:rPr>
        <w:t>自然由来汚染に係る継続監視を続けることについての課題が示された。</w:t>
      </w:r>
    </w:p>
    <w:p w14:paraId="71C02BD6" w14:textId="77777777" w:rsidR="00120F09" w:rsidRPr="008F24DA" w:rsidRDefault="00120F09" w:rsidP="00F51498">
      <w:pPr>
        <w:ind w:leftChars="100" w:left="202" w:firstLineChars="100" w:firstLine="202"/>
      </w:pPr>
      <w:r w:rsidRPr="008F24DA">
        <w:rPr>
          <w:rFonts w:hint="eastAsia"/>
        </w:rPr>
        <w:t>これを受けて、</w:t>
      </w:r>
      <w:r w:rsidR="00494F1C" w:rsidRPr="008F24DA">
        <w:rPr>
          <w:rFonts w:hint="eastAsia"/>
        </w:rPr>
        <w:t>自然由来汚染と判断できる継続監視調査地点については、</w:t>
      </w:r>
      <w:r w:rsidR="008F3369" w:rsidRPr="008F24DA">
        <w:rPr>
          <w:rFonts w:hint="eastAsia"/>
        </w:rPr>
        <w:t>令和２</w:t>
      </w:r>
      <w:r w:rsidR="00412F0A" w:rsidRPr="008F24DA">
        <w:rPr>
          <w:rFonts w:hint="eastAsia"/>
        </w:rPr>
        <w:t>年度</w:t>
      </w:r>
      <w:r w:rsidR="008F3369" w:rsidRPr="008F24DA">
        <w:rPr>
          <w:rFonts w:hint="eastAsia"/>
        </w:rPr>
        <w:t>から３年おきの</w:t>
      </w:r>
      <w:r w:rsidR="00DF62E6" w:rsidRPr="008F24DA">
        <w:rPr>
          <w:rFonts w:hint="eastAsia"/>
        </w:rPr>
        <w:t>ロー</w:t>
      </w:r>
      <w:r w:rsidR="00DB3B52" w:rsidRPr="008F24DA">
        <w:rPr>
          <w:rFonts w:hint="eastAsia"/>
        </w:rPr>
        <w:t>リング調査へ移行</w:t>
      </w:r>
      <w:r w:rsidR="00A57747" w:rsidRPr="008F24DA">
        <w:rPr>
          <w:rFonts w:hint="eastAsia"/>
        </w:rPr>
        <w:t>することと</w:t>
      </w:r>
      <w:r w:rsidR="00494F1C" w:rsidRPr="008F24DA">
        <w:rPr>
          <w:rFonts w:hint="eastAsia"/>
        </w:rPr>
        <w:t>し</w:t>
      </w:r>
      <w:r w:rsidR="00043F5F" w:rsidRPr="008F24DA">
        <w:rPr>
          <w:rFonts w:hint="eastAsia"/>
        </w:rPr>
        <w:t>た</w:t>
      </w:r>
      <w:r w:rsidR="00F51498" w:rsidRPr="008F24DA">
        <w:rPr>
          <w:rFonts w:hint="eastAsia"/>
        </w:rPr>
        <w:t>。</w:t>
      </w:r>
    </w:p>
    <w:p w14:paraId="179C4FCE" w14:textId="301B0C4A" w:rsidR="00DF62E6" w:rsidRPr="008F24DA" w:rsidRDefault="00DF62E6" w:rsidP="00F51498">
      <w:pPr>
        <w:ind w:leftChars="100" w:left="202" w:firstLineChars="100" w:firstLine="202"/>
      </w:pPr>
      <w:r w:rsidRPr="008F24DA">
        <w:rPr>
          <w:rFonts w:hint="eastAsia"/>
        </w:rPr>
        <w:t>さらに</w:t>
      </w:r>
      <w:r w:rsidR="00120F09" w:rsidRPr="008F24DA">
        <w:rPr>
          <w:rFonts w:hint="eastAsia"/>
        </w:rPr>
        <w:t>、</w:t>
      </w:r>
      <w:r w:rsidR="00DB3B52" w:rsidRPr="008F24DA">
        <w:rPr>
          <w:rFonts w:hint="eastAsia"/>
        </w:rPr>
        <w:t>今年度</w:t>
      </w:r>
      <w:r w:rsidR="00043F5F" w:rsidRPr="008F24DA">
        <w:rPr>
          <w:rFonts w:hint="eastAsia"/>
        </w:rPr>
        <w:t>は</w:t>
      </w:r>
      <w:r w:rsidR="00B42CCC" w:rsidRPr="008F24DA">
        <w:rPr>
          <w:rFonts w:hint="eastAsia"/>
        </w:rPr>
        <w:t>より効率的な常時監視を実施するため、</w:t>
      </w:r>
      <w:r w:rsidR="000E5B96" w:rsidRPr="008F24DA">
        <w:rPr>
          <w:rFonts w:hint="eastAsia"/>
        </w:rPr>
        <w:t>自然由来汚染に係る継続監視</w:t>
      </w:r>
      <w:r w:rsidR="00F51498" w:rsidRPr="008F24DA">
        <w:rPr>
          <w:rFonts w:hint="eastAsia"/>
        </w:rPr>
        <w:t>の</w:t>
      </w:r>
      <w:r w:rsidRPr="008F24DA">
        <w:rPr>
          <w:rFonts w:hint="eastAsia"/>
        </w:rPr>
        <w:t>終了</w:t>
      </w:r>
      <w:r w:rsidR="00B42CCC" w:rsidRPr="008F24DA">
        <w:rPr>
          <w:rFonts w:hint="eastAsia"/>
        </w:rPr>
        <w:t>に関する考え方について</w:t>
      </w:r>
      <w:r w:rsidRPr="008F24DA">
        <w:rPr>
          <w:rFonts w:hint="eastAsia"/>
        </w:rPr>
        <w:t>検討</w:t>
      </w:r>
      <w:r w:rsidR="005207E7" w:rsidRPr="008F24DA">
        <w:rPr>
          <w:rFonts w:hint="eastAsia"/>
        </w:rPr>
        <w:t>する。</w:t>
      </w:r>
    </w:p>
    <w:p w14:paraId="3A9968DA" w14:textId="45516F1D" w:rsidR="0092051E" w:rsidRPr="008F24DA" w:rsidRDefault="00466D2E" w:rsidP="00466D2E">
      <w:pPr>
        <w:ind w:leftChars="100" w:left="202" w:firstLineChars="100" w:firstLine="202"/>
      </w:pPr>
      <w:r w:rsidRPr="008F24DA">
        <w:rPr>
          <w:rFonts w:hint="eastAsia"/>
        </w:rPr>
        <w:t>なお、終了</w:t>
      </w:r>
      <w:r w:rsidR="005207E7" w:rsidRPr="008F24DA">
        <w:rPr>
          <w:rFonts w:hint="eastAsia"/>
        </w:rPr>
        <w:t>の検討</w:t>
      </w:r>
      <w:r w:rsidRPr="008F24DA">
        <w:rPr>
          <w:rFonts w:hint="eastAsia"/>
        </w:rPr>
        <w:t>については、</w:t>
      </w:r>
      <w:r w:rsidR="00BA2CEA" w:rsidRPr="008F24DA">
        <w:rPr>
          <w:rFonts w:hint="eastAsia"/>
        </w:rPr>
        <w:t>環境省</w:t>
      </w:r>
      <w:r w:rsidR="00AA0403" w:rsidRPr="008F24DA">
        <w:rPr>
          <w:rFonts w:hint="eastAsia"/>
        </w:rPr>
        <w:t>の事務処理基準等の内容と、地域や調査</w:t>
      </w:r>
      <w:r w:rsidR="007864E5" w:rsidRPr="008F24DA">
        <w:rPr>
          <w:rFonts w:hint="eastAsia"/>
        </w:rPr>
        <w:t>地点の実情を踏まえた上</w:t>
      </w:r>
      <w:r w:rsidR="00147969" w:rsidRPr="008F24DA">
        <w:rPr>
          <w:rFonts w:hint="eastAsia"/>
        </w:rPr>
        <w:t>で</w:t>
      </w:r>
      <w:r w:rsidR="005207E7" w:rsidRPr="008F24DA">
        <w:rPr>
          <w:rFonts w:hint="eastAsia"/>
        </w:rPr>
        <w:t>行う</w:t>
      </w:r>
      <w:r w:rsidR="0092051E" w:rsidRPr="008F24DA">
        <w:rPr>
          <w:rFonts w:hint="eastAsia"/>
        </w:rPr>
        <w:t>。</w:t>
      </w:r>
    </w:p>
    <w:p w14:paraId="07263A21" w14:textId="50B2FEA5" w:rsidR="00F67A15" w:rsidRPr="005207E7" w:rsidRDefault="00F67A15"/>
    <w:p w14:paraId="6BC73FF8" w14:textId="507328CA" w:rsidR="008F14E0" w:rsidRPr="004C78D4" w:rsidRDefault="008F14E0">
      <w:r w:rsidRPr="004C78D4">
        <w:rPr>
          <w:rFonts w:hint="eastAsia"/>
        </w:rPr>
        <w:t>【</w:t>
      </w:r>
      <w:r w:rsidR="004D55BC" w:rsidRPr="004C78D4">
        <w:rPr>
          <w:rFonts w:hint="eastAsia"/>
        </w:rPr>
        <w:t>考え方</w:t>
      </w:r>
      <w:r w:rsidRPr="004C78D4">
        <w:rPr>
          <w:rFonts w:hint="eastAsia"/>
        </w:rPr>
        <w:t>】</w:t>
      </w:r>
    </w:p>
    <w:p w14:paraId="76CA2A10" w14:textId="60F0723F" w:rsidR="00CD2EFD" w:rsidRPr="004C78D4" w:rsidRDefault="00CD2EFD" w:rsidP="00E20937">
      <w:pPr>
        <w:ind w:leftChars="100" w:left="202" w:firstLineChars="100" w:firstLine="202"/>
      </w:pPr>
      <w:r w:rsidRPr="004C78D4">
        <w:rPr>
          <w:rFonts w:hint="eastAsia"/>
        </w:rPr>
        <w:t>環境省の事務処理基準では、自然由来と判断される汚染については「継続監視調査を終了することができる」とされていることから、</w:t>
      </w:r>
      <w:r w:rsidR="00E20937" w:rsidRPr="004C78D4">
        <w:rPr>
          <w:rFonts w:hint="eastAsia"/>
        </w:rPr>
        <w:t>対象地点の</w:t>
      </w:r>
      <w:r w:rsidRPr="004C78D4">
        <w:rPr>
          <w:rFonts w:hint="eastAsia"/>
        </w:rPr>
        <w:t>汚染が自然由来であること、かつ、</w:t>
      </w:r>
      <w:r w:rsidR="00E20937" w:rsidRPr="004C78D4">
        <w:rPr>
          <w:rFonts w:hint="eastAsia"/>
        </w:rPr>
        <w:t>下記</w:t>
      </w:r>
      <w:r w:rsidRPr="004C78D4">
        <w:rPr>
          <w:rFonts w:hint="eastAsia"/>
        </w:rPr>
        <w:t>終了要件に該当する</w:t>
      </w:r>
      <w:r w:rsidR="00E20937" w:rsidRPr="004C78D4">
        <w:rPr>
          <w:rFonts w:hint="eastAsia"/>
        </w:rPr>
        <w:t>と判断される</w:t>
      </w:r>
      <w:r w:rsidRPr="004C78D4">
        <w:rPr>
          <w:rFonts w:hint="eastAsia"/>
        </w:rPr>
        <w:t>場合は、周辺地区調査等を実施せず、継続監視調査を終了することとする。</w:t>
      </w:r>
    </w:p>
    <w:p w14:paraId="033AA6E5" w14:textId="77777777" w:rsidR="003B3CED" w:rsidRPr="004C78D4" w:rsidRDefault="003B3CED" w:rsidP="00377E62">
      <w:pPr>
        <w:ind w:left="202" w:hangingChars="100" w:hanging="202"/>
      </w:pPr>
    </w:p>
    <w:p w14:paraId="1301DE8D" w14:textId="3E4B3712" w:rsidR="00F469FC" w:rsidRPr="00AD13B0" w:rsidRDefault="008E37DA" w:rsidP="004C2FB6">
      <w:pPr>
        <w:pStyle w:val="af1"/>
        <w:numPr>
          <w:ilvl w:val="0"/>
          <w:numId w:val="6"/>
        </w:numPr>
        <w:ind w:leftChars="0"/>
        <w:rPr>
          <w:u w:val="single"/>
        </w:rPr>
      </w:pPr>
      <w:r w:rsidRPr="00AD13B0">
        <w:rPr>
          <w:rFonts w:hint="eastAsia"/>
          <w:u w:val="single"/>
        </w:rPr>
        <w:t>汚染が</w:t>
      </w:r>
      <w:r w:rsidR="00F67A15" w:rsidRPr="00AD13B0">
        <w:rPr>
          <w:rFonts w:hint="eastAsia"/>
          <w:u w:val="single"/>
        </w:rPr>
        <w:t>自然由来</w:t>
      </w:r>
      <w:r w:rsidRPr="00AD13B0">
        <w:rPr>
          <w:rFonts w:hint="eastAsia"/>
          <w:u w:val="single"/>
        </w:rPr>
        <w:t>であること</w:t>
      </w:r>
      <w:r w:rsidR="00F67A15" w:rsidRPr="00AD13B0">
        <w:rPr>
          <w:rFonts w:hint="eastAsia"/>
          <w:u w:val="single"/>
        </w:rPr>
        <w:t>の判断</w:t>
      </w:r>
    </w:p>
    <w:p w14:paraId="5166BC25" w14:textId="3C079111" w:rsidR="003F3441" w:rsidRPr="00AD13B0" w:rsidRDefault="003F3441" w:rsidP="00932494">
      <w:pPr>
        <w:ind w:left="202" w:hangingChars="100" w:hanging="202"/>
      </w:pPr>
      <w:r w:rsidRPr="00AD13B0">
        <w:rPr>
          <w:rFonts w:hint="eastAsia"/>
        </w:rPr>
        <w:t>・</w:t>
      </w:r>
      <w:r w:rsidR="005B72AD" w:rsidRPr="00AD13B0">
        <w:rPr>
          <w:rFonts w:hint="eastAsia"/>
        </w:rPr>
        <w:t>判断は、</w:t>
      </w:r>
      <w:r w:rsidR="00932494" w:rsidRPr="00AD13B0">
        <w:rPr>
          <w:rFonts w:hint="eastAsia"/>
        </w:rPr>
        <w:t>原則として環境省の事務処理基準及び</w:t>
      </w:r>
      <w:r w:rsidR="00431F00" w:rsidRPr="00AD13B0">
        <w:rPr>
          <w:rFonts w:hint="eastAsia"/>
        </w:rPr>
        <w:t>地下水質モニタリングの</w:t>
      </w:r>
      <w:r w:rsidR="00932494" w:rsidRPr="00AD13B0">
        <w:rPr>
          <w:rFonts w:hint="eastAsia"/>
        </w:rPr>
        <w:t>手引きを基に実施</w:t>
      </w:r>
      <w:r w:rsidRPr="00AD13B0">
        <w:rPr>
          <w:rFonts w:hint="eastAsia"/>
        </w:rPr>
        <w:t>。</w:t>
      </w:r>
    </w:p>
    <w:p w14:paraId="27784F26" w14:textId="3C5E1DAE" w:rsidR="009F5907" w:rsidRPr="00AD13B0" w:rsidRDefault="00BA0D59" w:rsidP="009F5907">
      <w:pPr>
        <w:ind w:left="202" w:hangingChars="100" w:hanging="202"/>
      </w:pPr>
      <w:r w:rsidRPr="00AD13B0">
        <w:rPr>
          <w:rFonts w:hint="eastAsia"/>
        </w:rPr>
        <w:t>・</w:t>
      </w:r>
      <w:r w:rsidR="00AA0403" w:rsidRPr="00AD13B0">
        <w:rPr>
          <w:rFonts w:hint="eastAsia"/>
        </w:rPr>
        <w:t>人的由来の可能性</w:t>
      </w:r>
      <w:r w:rsidR="009F5907" w:rsidRPr="00AD13B0">
        <w:rPr>
          <w:rFonts w:hint="eastAsia"/>
        </w:rPr>
        <w:t>については、</w:t>
      </w:r>
      <w:r w:rsidR="00A946A1" w:rsidRPr="00AD13B0">
        <w:rPr>
          <w:rFonts w:hint="eastAsia"/>
        </w:rPr>
        <w:t>調査地点及びその周辺で過去から現在までに測定</w:t>
      </w:r>
      <w:r w:rsidR="009F5907" w:rsidRPr="00AD13B0">
        <w:rPr>
          <w:rFonts w:hint="eastAsia"/>
        </w:rPr>
        <w:t>項目の使用履歴がないことを以下のとおり確認する。</w:t>
      </w:r>
    </w:p>
    <w:p w14:paraId="6F63C5D9" w14:textId="40CDC816" w:rsidR="00C82C7D" w:rsidRPr="00AD13B0" w:rsidRDefault="00C82C7D" w:rsidP="00C82C7D">
      <w:pPr>
        <w:ind w:leftChars="100" w:left="404" w:hangingChars="100" w:hanging="202"/>
      </w:pPr>
      <w:r w:rsidRPr="00AD13B0">
        <w:rPr>
          <w:rFonts w:hint="eastAsia"/>
        </w:rPr>
        <w:t>－調査地点</w:t>
      </w:r>
      <w:r w:rsidR="005F0250" w:rsidRPr="00AD13B0">
        <w:rPr>
          <w:rFonts w:hint="eastAsia"/>
        </w:rPr>
        <w:t>：</w:t>
      </w:r>
      <w:r w:rsidRPr="00AD13B0">
        <w:rPr>
          <w:rFonts w:hint="eastAsia"/>
        </w:rPr>
        <w:t>航空写真、住宅地図又は過去の地歴調査を用いて</w:t>
      </w:r>
      <w:r w:rsidR="005F0250" w:rsidRPr="00AD13B0">
        <w:rPr>
          <w:rFonts w:hint="eastAsia"/>
        </w:rPr>
        <w:t>地歴を</w:t>
      </w:r>
      <w:r w:rsidRPr="00AD13B0">
        <w:rPr>
          <w:rFonts w:hint="eastAsia"/>
        </w:rPr>
        <w:t>確認</w:t>
      </w:r>
      <w:r w:rsidR="005F0250" w:rsidRPr="00AD13B0">
        <w:rPr>
          <w:rFonts w:hint="eastAsia"/>
        </w:rPr>
        <w:t>。</w:t>
      </w:r>
    </w:p>
    <w:p w14:paraId="16F077D7" w14:textId="716B5A1C" w:rsidR="004E066B" w:rsidRPr="00AD13B0" w:rsidRDefault="008F7996" w:rsidP="00465220">
      <w:pPr>
        <w:ind w:leftChars="100" w:left="404" w:hangingChars="100" w:hanging="202"/>
      </w:pPr>
      <w:r w:rsidRPr="00AD13B0">
        <w:rPr>
          <w:rFonts w:hint="eastAsia"/>
        </w:rPr>
        <w:t>－</w:t>
      </w:r>
      <w:r w:rsidR="00C82C7D" w:rsidRPr="00AD13B0">
        <w:rPr>
          <w:rFonts w:hint="eastAsia"/>
        </w:rPr>
        <w:t>調査地点周辺</w:t>
      </w:r>
      <w:r w:rsidR="005F0250" w:rsidRPr="00AD13B0">
        <w:rPr>
          <w:rFonts w:hint="eastAsia"/>
        </w:rPr>
        <w:t>：</w:t>
      </w:r>
      <w:r w:rsidR="004E066B" w:rsidRPr="00AD13B0">
        <w:rPr>
          <w:rFonts w:hint="eastAsia"/>
        </w:rPr>
        <w:t>確認</w:t>
      </w:r>
      <w:r w:rsidRPr="00AD13B0">
        <w:rPr>
          <w:rFonts w:hint="eastAsia"/>
        </w:rPr>
        <w:t>対象範囲</w:t>
      </w:r>
      <w:r w:rsidR="00231371" w:rsidRPr="00AD13B0">
        <w:rPr>
          <w:rFonts w:hint="eastAsia"/>
        </w:rPr>
        <w:t>は</w:t>
      </w:r>
      <w:r w:rsidR="00D0275D" w:rsidRPr="00AD13B0">
        <w:rPr>
          <w:rFonts w:hint="eastAsia"/>
        </w:rPr>
        <w:t>調査地点を中心として</w:t>
      </w:r>
      <w:r w:rsidR="00A946A1" w:rsidRPr="00AD13B0">
        <w:rPr>
          <w:rFonts w:hint="eastAsia"/>
        </w:rPr>
        <w:t>測定</w:t>
      </w:r>
      <w:r w:rsidR="00D0275D" w:rsidRPr="00AD13B0">
        <w:rPr>
          <w:rFonts w:hint="eastAsia"/>
        </w:rPr>
        <w:t>項目毎に</w:t>
      </w:r>
      <w:r w:rsidRPr="00AD13B0">
        <w:rPr>
          <w:rFonts w:hint="eastAsia"/>
        </w:rPr>
        <w:t>半径</w:t>
      </w:r>
      <w:r w:rsidRPr="00AD13B0">
        <w:t>80～500m</w:t>
      </w:r>
      <w:r w:rsidRPr="00AD13B0">
        <w:rPr>
          <w:rFonts w:hint="eastAsia"/>
        </w:rPr>
        <w:t>で設定</w:t>
      </w:r>
      <w:r w:rsidR="00AE44CE" w:rsidRPr="00AD13B0">
        <w:rPr>
          <w:rFonts w:hint="eastAsia"/>
        </w:rPr>
        <w:t>し、</w:t>
      </w:r>
      <w:r w:rsidR="004E066B" w:rsidRPr="00AD13B0">
        <w:rPr>
          <w:rFonts w:hint="eastAsia"/>
        </w:rPr>
        <w:t>以下</w:t>
      </w:r>
      <w:r w:rsidR="005F0250" w:rsidRPr="00AD13B0">
        <w:rPr>
          <w:rFonts w:hint="eastAsia"/>
        </w:rPr>
        <w:t>届出等</w:t>
      </w:r>
      <w:r w:rsidR="004E066B" w:rsidRPr="00AD13B0">
        <w:rPr>
          <w:rFonts w:hint="eastAsia"/>
        </w:rPr>
        <w:t>から状況を確認。</w:t>
      </w:r>
    </w:p>
    <w:p w14:paraId="6E3EB5F9" w14:textId="15443EEF" w:rsidR="004E066B" w:rsidRPr="00AD13B0" w:rsidRDefault="004E066B" w:rsidP="001712CF">
      <w:pPr>
        <w:ind w:leftChars="200" w:left="405"/>
        <w:rPr>
          <w:vertAlign w:val="superscript"/>
        </w:rPr>
      </w:pPr>
      <w:r w:rsidRPr="00AD13B0">
        <w:t>1)</w:t>
      </w:r>
      <w:r w:rsidR="005F0250" w:rsidRPr="00AD13B0">
        <w:rPr>
          <w:rFonts w:hint="eastAsia"/>
        </w:rPr>
        <w:t>廃止を含む</w:t>
      </w:r>
      <w:r w:rsidR="00465220" w:rsidRPr="00AD13B0">
        <w:rPr>
          <w:rFonts w:hint="eastAsia"/>
        </w:rPr>
        <w:t>水質関係</w:t>
      </w:r>
      <w:r w:rsidR="00721228" w:rsidRPr="00AD13B0">
        <w:rPr>
          <w:rFonts w:hint="eastAsia"/>
        </w:rPr>
        <w:t>の届出</w:t>
      </w:r>
      <w:r w:rsidR="00465220" w:rsidRPr="00AD13B0">
        <w:rPr>
          <w:rFonts w:hint="eastAsia"/>
        </w:rPr>
        <w:t>（水濁法、</w:t>
      </w:r>
      <w:r w:rsidRPr="00AD13B0">
        <w:rPr>
          <w:rFonts w:hint="eastAsia"/>
        </w:rPr>
        <w:t>内海法、</w:t>
      </w:r>
      <w:r w:rsidR="00465220" w:rsidRPr="00AD13B0">
        <w:rPr>
          <w:rFonts w:hint="eastAsia"/>
        </w:rPr>
        <w:t>府条例）</w:t>
      </w:r>
      <w:r w:rsidR="00465220" w:rsidRPr="00AD13B0">
        <w:rPr>
          <w:rFonts w:hint="eastAsia"/>
          <w:vertAlign w:val="superscript"/>
        </w:rPr>
        <w:t>※</w:t>
      </w:r>
    </w:p>
    <w:p w14:paraId="0FFDC7B7" w14:textId="762F25DF" w:rsidR="004E066B" w:rsidRPr="00AD13B0" w:rsidRDefault="004E066B" w:rsidP="001712CF">
      <w:pPr>
        <w:ind w:leftChars="200" w:left="405"/>
      </w:pPr>
      <w:r w:rsidRPr="00AD13B0">
        <w:t>2)</w:t>
      </w:r>
      <w:r w:rsidR="00465220" w:rsidRPr="00AD13B0">
        <w:t>PRTR制度</w:t>
      </w:r>
      <w:r w:rsidR="00721228" w:rsidRPr="00AD13B0">
        <w:rPr>
          <w:rFonts w:hint="eastAsia"/>
        </w:rPr>
        <w:t>の届出</w:t>
      </w:r>
      <w:r w:rsidR="00465220" w:rsidRPr="00AD13B0">
        <w:t>（直近年度）</w:t>
      </w:r>
    </w:p>
    <w:p w14:paraId="5FD26039" w14:textId="1795FDD1" w:rsidR="004E066B" w:rsidRPr="00AD13B0" w:rsidRDefault="004E066B" w:rsidP="001712CF">
      <w:pPr>
        <w:ind w:leftChars="200" w:left="405"/>
      </w:pPr>
      <w:r w:rsidRPr="00AD13B0">
        <w:t>3)</w:t>
      </w:r>
      <w:r w:rsidR="00520B36" w:rsidRPr="00AD13B0">
        <w:rPr>
          <w:rFonts w:hint="eastAsia"/>
        </w:rPr>
        <w:t>土壌汚染対策法</w:t>
      </w:r>
      <w:r w:rsidR="00AE44CE" w:rsidRPr="00AD13B0">
        <w:rPr>
          <w:rFonts w:hint="eastAsia"/>
        </w:rPr>
        <w:t>、</w:t>
      </w:r>
      <w:r w:rsidR="00520B36" w:rsidRPr="00AD13B0">
        <w:rPr>
          <w:rFonts w:hint="eastAsia"/>
        </w:rPr>
        <w:t>廃棄物処理法</w:t>
      </w:r>
      <w:r w:rsidR="00431F00" w:rsidRPr="00AD13B0">
        <w:rPr>
          <w:rFonts w:hint="eastAsia"/>
          <w:vertAlign w:val="superscript"/>
        </w:rPr>
        <w:t>※</w:t>
      </w:r>
      <w:r w:rsidR="00465220" w:rsidRPr="00AD13B0">
        <w:rPr>
          <w:rFonts w:hint="eastAsia"/>
        </w:rPr>
        <w:t>の指定区域</w:t>
      </w:r>
    </w:p>
    <w:p w14:paraId="452A10F4" w14:textId="5B26B346" w:rsidR="00721228" w:rsidRPr="00AD13B0" w:rsidRDefault="004E066B" w:rsidP="001712CF">
      <w:pPr>
        <w:ind w:leftChars="200" w:left="405"/>
      </w:pPr>
      <w:r w:rsidRPr="00AD13B0">
        <w:t>4)</w:t>
      </w:r>
      <w:r w:rsidR="00431F00" w:rsidRPr="00AD13B0">
        <w:rPr>
          <w:rFonts w:hint="eastAsia"/>
        </w:rPr>
        <w:t>廃棄物の不適正処理の</w:t>
      </w:r>
      <w:r w:rsidR="00AE44CE" w:rsidRPr="00AD13B0">
        <w:rPr>
          <w:rFonts w:hint="eastAsia"/>
        </w:rPr>
        <w:t>有無</w:t>
      </w:r>
    </w:p>
    <w:p w14:paraId="0664E18E" w14:textId="4DB839D3" w:rsidR="00F4316F" w:rsidRPr="00AD13B0" w:rsidRDefault="00721228" w:rsidP="001712CF">
      <w:pPr>
        <w:ind w:leftChars="200" w:left="607" w:hangingChars="100" w:hanging="202"/>
      </w:pPr>
      <w:r w:rsidRPr="00AD13B0">
        <w:rPr>
          <w:rFonts w:hint="eastAsia"/>
        </w:rPr>
        <w:t>※水質汚濁防止法、</w:t>
      </w:r>
      <w:r w:rsidR="00231371" w:rsidRPr="00AD13B0">
        <w:rPr>
          <w:rFonts w:hint="eastAsia"/>
        </w:rPr>
        <w:t>瀬戸内海環境保全特別措置法、</w:t>
      </w:r>
      <w:r w:rsidRPr="00AD13B0">
        <w:rPr>
          <w:rFonts w:hint="eastAsia"/>
        </w:rPr>
        <w:t>大阪府生活環境の保全等に関する条例、廃棄物の処理及び清掃に関する法律の略称。</w:t>
      </w:r>
    </w:p>
    <w:p w14:paraId="30B30E58" w14:textId="6768619A" w:rsidR="00F67A15" w:rsidRPr="00AD13B0" w:rsidRDefault="008E37DA" w:rsidP="004C2FB6">
      <w:pPr>
        <w:pStyle w:val="af1"/>
        <w:numPr>
          <w:ilvl w:val="0"/>
          <w:numId w:val="6"/>
        </w:numPr>
        <w:ind w:leftChars="0"/>
        <w:rPr>
          <w:u w:val="single"/>
        </w:rPr>
      </w:pPr>
      <w:r w:rsidRPr="00AD13B0">
        <w:rPr>
          <w:rFonts w:hint="eastAsia"/>
          <w:u w:val="single"/>
        </w:rPr>
        <w:t>継続監視の</w:t>
      </w:r>
      <w:r w:rsidR="00F67A15" w:rsidRPr="00AD13B0">
        <w:rPr>
          <w:rFonts w:hint="eastAsia"/>
          <w:u w:val="single"/>
        </w:rPr>
        <w:t>終了対象</w:t>
      </w:r>
      <w:r w:rsidR="00932494" w:rsidRPr="00AD13B0">
        <w:rPr>
          <w:rFonts w:hint="eastAsia"/>
          <w:u w:val="single"/>
        </w:rPr>
        <w:t>地点の判断</w:t>
      </w:r>
    </w:p>
    <w:p w14:paraId="77E49EF4" w14:textId="77777777" w:rsidR="004619EE" w:rsidRPr="00AD13B0" w:rsidRDefault="00AA0403" w:rsidP="004619EE">
      <w:pPr>
        <w:pStyle w:val="aa"/>
        <w:ind w:left="202" w:hangingChars="100" w:hanging="202"/>
      </w:pPr>
      <w:r w:rsidRPr="00AD13B0">
        <w:rPr>
          <w:rFonts w:hint="eastAsia"/>
        </w:rPr>
        <w:t>・環境省の事務処理基準等には</w:t>
      </w:r>
      <w:r w:rsidR="008B50E0" w:rsidRPr="00AD13B0">
        <w:rPr>
          <w:rFonts w:hint="eastAsia"/>
        </w:rPr>
        <w:t>、</w:t>
      </w:r>
      <w:r w:rsidRPr="00AD13B0">
        <w:rPr>
          <w:rFonts w:hint="eastAsia"/>
        </w:rPr>
        <w:t>自然由来の汚染と判断される場合の詳細な</w:t>
      </w:r>
      <w:r w:rsidR="00A83585" w:rsidRPr="00AD13B0">
        <w:rPr>
          <w:rFonts w:hint="eastAsia"/>
        </w:rPr>
        <w:t>終了</w:t>
      </w:r>
      <w:r w:rsidRPr="00AD13B0">
        <w:rPr>
          <w:rFonts w:hint="eastAsia"/>
        </w:rPr>
        <w:t>要件について</w:t>
      </w:r>
      <w:r w:rsidR="004619EE" w:rsidRPr="00AD13B0">
        <w:rPr>
          <w:rFonts w:hint="eastAsia"/>
        </w:rPr>
        <w:t>定めがないため、要件を以下のとおり設定する。</w:t>
      </w:r>
    </w:p>
    <w:p w14:paraId="28F4D637" w14:textId="669832E0" w:rsidR="0031249E" w:rsidRPr="004C78D4" w:rsidRDefault="00A83585" w:rsidP="00564F0A">
      <w:pPr>
        <w:pStyle w:val="aa"/>
        <w:ind w:left="202" w:hangingChars="100" w:hanging="202"/>
      </w:pPr>
      <w:r w:rsidRPr="00AD13B0">
        <w:rPr>
          <w:rFonts w:hint="eastAsia"/>
        </w:rPr>
        <w:t>・終了要件は、</w:t>
      </w:r>
      <w:r w:rsidR="0031249E" w:rsidRPr="00AD13B0">
        <w:rPr>
          <w:rFonts w:hint="eastAsia"/>
        </w:rPr>
        <w:t>以下のとおりとする。</w:t>
      </w:r>
    </w:p>
    <w:p w14:paraId="4E93F7F3" w14:textId="41ECD74D" w:rsidR="0031249E" w:rsidRPr="004C78D4" w:rsidRDefault="0031249E" w:rsidP="0031249E">
      <w:pPr>
        <w:pStyle w:val="aa"/>
        <w:ind w:leftChars="100" w:left="202"/>
      </w:pPr>
      <w:r w:rsidRPr="004C78D4">
        <w:rPr>
          <w:rFonts w:hint="eastAsia"/>
        </w:rPr>
        <w:t>－</w:t>
      </w:r>
      <w:r w:rsidR="00AA2380" w:rsidRPr="004C78D4">
        <w:rPr>
          <w:rFonts w:hint="eastAsia"/>
        </w:rPr>
        <w:t>現在使用していない井戸（未使用井戸）</w:t>
      </w:r>
      <w:r w:rsidR="00660953" w:rsidRPr="004C78D4">
        <w:rPr>
          <w:rFonts w:hint="eastAsia"/>
        </w:rPr>
        <w:t>であること</w:t>
      </w:r>
      <w:r w:rsidR="005D6994" w:rsidRPr="004C78D4">
        <w:rPr>
          <w:rFonts w:hint="eastAsia"/>
        </w:rPr>
        <w:t>。</w:t>
      </w:r>
    </w:p>
    <w:p w14:paraId="3706D1AA" w14:textId="2A94C5A0" w:rsidR="00A751FE" w:rsidRPr="004C78D4" w:rsidRDefault="00CD2EFD" w:rsidP="00544038">
      <w:pPr>
        <w:ind w:leftChars="100" w:left="404" w:hangingChars="100" w:hanging="202"/>
      </w:pPr>
      <w:r w:rsidRPr="004C78D4">
        <w:rPr>
          <w:rFonts w:hint="eastAsia"/>
        </w:rPr>
        <w:t>－現在使用中の井戸については、作物を経由して有害物質が経口摂取される可能性も否定できないことから、使用用途が田畑への散水等で</w:t>
      </w:r>
      <w:r w:rsidR="004C78D4">
        <w:rPr>
          <w:rFonts w:hint="eastAsia"/>
        </w:rPr>
        <w:t>は</w:t>
      </w:r>
      <w:r w:rsidRPr="004C78D4">
        <w:rPr>
          <w:rFonts w:hint="eastAsia"/>
        </w:rPr>
        <w:t>なく、概況調査対象メッシュ外の井戸、又</w:t>
      </w:r>
      <w:r w:rsidRPr="00A23DCD">
        <w:rPr>
          <w:rFonts w:hint="eastAsia"/>
        </w:rPr>
        <w:t>は</w:t>
      </w:r>
      <w:r w:rsidR="00B5591D" w:rsidRPr="00A23DCD">
        <w:rPr>
          <w:rFonts w:hint="eastAsia"/>
        </w:rPr>
        <w:t>調査</w:t>
      </w:r>
      <w:r w:rsidRPr="00A23DCD">
        <w:rPr>
          <w:rFonts w:hint="eastAsia"/>
        </w:rPr>
        <w:t>を行った直</w:t>
      </w:r>
      <w:r w:rsidRPr="004C78D4">
        <w:rPr>
          <w:rFonts w:hint="eastAsia"/>
        </w:rPr>
        <w:t>近５年の検出濃度が上昇傾向にない井戸であること。</w:t>
      </w:r>
    </w:p>
    <w:p w14:paraId="2F2EB509" w14:textId="77777777" w:rsidR="00CD2EFD" w:rsidRPr="004C78D4" w:rsidRDefault="00CD2EFD" w:rsidP="00CD2EFD"/>
    <w:p w14:paraId="7B59F9AA" w14:textId="22086491" w:rsidR="00F67A15" w:rsidRPr="004C78D4" w:rsidRDefault="00060398" w:rsidP="00F67A15">
      <w:r w:rsidRPr="004C78D4">
        <w:rPr>
          <w:rFonts w:hint="eastAsia"/>
        </w:rPr>
        <w:t>【</w:t>
      </w:r>
      <w:r w:rsidR="00F67A15" w:rsidRPr="004C78D4">
        <w:rPr>
          <w:rFonts w:hint="eastAsia"/>
        </w:rPr>
        <w:t>終了後の同地区内での常時監視について</w:t>
      </w:r>
      <w:r w:rsidRPr="004C78D4">
        <w:rPr>
          <w:rFonts w:hint="eastAsia"/>
        </w:rPr>
        <w:t>】</w:t>
      </w:r>
    </w:p>
    <w:p w14:paraId="0EA8BDCD" w14:textId="4204E20E" w:rsidR="000D23D0" w:rsidRDefault="00B1249A" w:rsidP="004C78D4">
      <w:pPr>
        <w:ind w:left="202" w:hangingChars="100" w:hanging="202"/>
      </w:pPr>
      <w:r w:rsidRPr="004C78D4">
        <w:rPr>
          <w:rFonts w:hint="eastAsia"/>
        </w:rPr>
        <w:t>・事業場由来の汚染が今後発見される可能性も否定できないことから、概況調査では</w:t>
      </w:r>
      <w:r w:rsidR="003A1216" w:rsidRPr="004C78D4">
        <w:rPr>
          <w:rFonts w:hint="eastAsia"/>
        </w:rPr>
        <w:t>基本どおり</w:t>
      </w:r>
      <w:r w:rsidRPr="004C78D4">
        <w:rPr>
          <w:rFonts w:hint="eastAsia"/>
        </w:rPr>
        <w:t>全28項目を測定</w:t>
      </w:r>
      <w:r w:rsidR="003A1216" w:rsidRPr="004C78D4">
        <w:rPr>
          <w:rFonts w:hint="eastAsia"/>
        </w:rPr>
        <w:t>対象と</w:t>
      </w:r>
      <w:r w:rsidRPr="004C78D4">
        <w:rPr>
          <w:rFonts w:hint="eastAsia"/>
        </w:rPr>
        <w:t>する。</w:t>
      </w:r>
    </w:p>
    <w:sectPr w:rsidR="000D23D0" w:rsidSect="005B7D0E">
      <w:pgSz w:w="11906" w:h="16838"/>
      <w:pgMar w:top="1418" w:right="1701" w:bottom="1701" w:left="1701" w:header="851" w:footer="992" w:gutter="0"/>
      <w:cols w:space="720"/>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F2D7F" w14:textId="77777777" w:rsidR="002C3EF1" w:rsidRDefault="002C3EF1" w:rsidP="00945600">
      <w:r>
        <w:separator/>
      </w:r>
    </w:p>
  </w:endnote>
  <w:endnote w:type="continuationSeparator" w:id="0">
    <w:p w14:paraId="6AFD4ADC" w14:textId="77777777" w:rsidR="002C3EF1" w:rsidRDefault="002C3EF1" w:rsidP="0094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77793" w14:textId="77777777" w:rsidR="002C3EF1" w:rsidRDefault="002C3EF1" w:rsidP="00945600">
      <w:r>
        <w:separator/>
      </w:r>
    </w:p>
  </w:footnote>
  <w:footnote w:type="continuationSeparator" w:id="0">
    <w:p w14:paraId="62A47B01" w14:textId="77777777" w:rsidR="002C3EF1" w:rsidRDefault="002C3EF1" w:rsidP="00945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E77"/>
    <w:multiLevelType w:val="hybridMultilevel"/>
    <w:tmpl w:val="BE4CF1D2"/>
    <w:lvl w:ilvl="0" w:tplc="AD422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E1A21"/>
    <w:multiLevelType w:val="hybridMultilevel"/>
    <w:tmpl w:val="004A5906"/>
    <w:lvl w:ilvl="0" w:tplc="BF1C0E8A">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8D33220"/>
    <w:multiLevelType w:val="hybridMultilevel"/>
    <w:tmpl w:val="4CCCC7BC"/>
    <w:lvl w:ilvl="0" w:tplc="C9427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F407B"/>
    <w:multiLevelType w:val="hybridMultilevel"/>
    <w:tmpl w:val="05EEF3B2"/>
    <w:lvl w:ilvl="0" w:tplc="E556B3E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172B1227"/>
    <w:multiLevelType w:val="hybridMultilevel"/>
    <w:tmpl w:val="F1608710"/>
    <w:lvl w:ilvl="0" w:tplc="64069D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8137D"/>
    <w:multiLevelType w:val="hybridMultilevel"/>
    <w:tmpl w:val="5E7C1330"/>
    <w:lvl w:ilvl="0" w:tplc="034CE0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62"/>
    <w:rsid w:val="0000163B"/>
    <w:rsid w:val="000130DE"/>
    <w:rsid w:val="00013D1F"/>
    <w:rsid w:val="0002078B"/>
    <w:rsid w:val="00024F1A"/>
    <w:rsid w:val="000302C2"/>
    <w:rsid w:val="000354E6"/>
    <w:rsid w:val="00035A59"/>
    <w:rsid w:val="00041FCD"/>
    <w:rsid w:val="00043F5F"/>
    <w:rsid w:val="00047294"/>
    <w:rsid w:val="00047902"/>
    <w:rsid w:val="00051A84"/>
    <w:rsid w:val="00060398"/>
    <w:rsid w:val="0006082F"/>
    <w:rsid w:val="00061A08"/>
    <w:rsid w:val="00070C62"/>
    <w:rsid w:val="00084933"/>
    <w:rsid w:val="000860A9"/>
    <w:rsid w:val="000917CB"/>
    <w:rsid w:val="00091969"/>
    <w:rsid w:val="000A79F8"/>
    <w:rsid w:val="000B7F04"/>
    <w:rsid w:val="000C09C0"/>
    <w:rsid w:val="000C485B"/>
    <w:rsid w:val="000D0504"/>
    <w:rsid w:val="000D23D0"/>
    <w:rsid w:val="000D7F64"/>
    <w:rsid w:val="000E5B96"/>
    <w:rsid w:val="000E77A0"/>
    <w:rsid w:val="000F596B"/>
    <w:rsid w:val="000F6D04"/>
    <w:rsid w:val="00102F3A"/>
    <w:rsid w:val="00103438"/>
    <w:rsid w:val="0010613C"/>
    <w:rsid w:val="00120F09"/>
    <w:rsid w:val="001315F7"/>
    <w:rsid w:val="00141ADA"/>
    <w:rsid w:val="00147969"/>
    <w:rsid w:val="00155444"/>
    <w:rsid w:val="00165656"/>
    <w:rsid w:val="001712CF"/>
    <w:rsid w:val="00172113"/>
    <w:rsid w:val="00173C32"/>
    <w:rsid w:val="0017414B"/>
    <w:rsid w:val="00183F68"/>
    <w:rsid w:val="001951E8"/>
    <w:rsid w:val="001A145E"/>
    <w:rsid w:val="001A35BB"/>
    <w:rsid w:val="001A4DF7"/>
    <w:rsid w:val="001D4AE0"/>
    <w:rsid w:val="001E67EA"/>
    <w:rsid w:val="001F0259"/>
    <w:rsid w:val="001F1989"/>
    <w:rsid w:val="001F1F31"/>
    <w:rsid w:val="0020174B"/>
    <w:rsid w:val="00211765"/>
    <w:rsid w:val="0021483A"/>
    <w:rsid w:val="00231371"/>
    <w:rsid w:val="00241B98"/>
    <w:rsid w:val="00246E0F"/>
    <w:rsid w:val="00255C29"/>
    <w:rsid w:val="0026329A"/>
    <w:rsid w:val="00266387"/>
    <w:rsid w:val="00292FDA"/>
    <w:rsid w:val="002A6EEF"/>
    <w:rsid w:val="002B3C03"/>
    <w:rsid w:val="002B6CB1"/>
    <w:rsid w:val="002C3EF1"/>
    <w:rsid w:val="002C47B8"/>
    <w:rsid w:val="002C6031"/>
    <w:rsid w:val="002D3AE4"/>
    <w:rsid w:val="002D3CBE"/>
    <w:rsid w:val="002E7AE2"/>
    <w:rsid w:val="0030530C"/>
    <w:rsid w:val="003053C5"/>
    <w:rsid w:val="00307C91"/>
    <w:rsid w:val="0031249E"/>
    <w:rsid w:val="00321A1D"/>
    <w:rsid w:val="00322DF8"/>
    <w:rsid w:val="00330019"/>
    <w:rsid w:val="003313DF"/>
    <w:rsid w:val="00377E62"/>
    <w:rsid w:val="003801CE"/>
    <w:rsid w:val="00385858"/>
    <w:rsid w:val="00386166"/>
    <w:rsid w:val="0039431B"/>
    <w:rsid w:val="003A1216"/>
    <w:rsid w:val="003A2A2F"/>
    <w:rsid w:val="003B3CED"/>
    <w:rsid w:val="003C29A5"/>
    <w:rsid w:val="003C483F"/>
    <w:rsid w:val="003C595C"/>
    <w:rsid w:val="003E7846"/>
    <w:rsid w:val="003F01C5"/>
    <w:rsid w:val="003F0376"/>
    <w:rsid w:val="003F3441"/>
    <w:rsid w:val="003F47C9"/>
    <w:rsid w:val="003F6B40"/>
    <w:rsid w:val="00401F28"/>
    <w:rsid w:val="00402C4F"/>
    <w:rsid w:val="00406266"/>
    <w:rsid w:val="00412F0A"/>
    <w:rsid w:val="00424717"/>
    <w:rsid w:val="0042487E"/>
    <w:rsid w:val="00431F00"/>
    <w:rsid w:val="00437092"/>
    <w:rsid w:val="004540CC"/>
    <w:rsid w:val="004619EE"/>
    <w:rsid w:val="00465220"/>
    <w:rsid w:val="00465716"/>
    <w:rsid w:val="00466D2E"/>
    <w:rsid w:val="00482B82"/>
    <w:rsid w:val="00485E92"/>
    <w:rsid w:val="00493B90"/>
    <w:rsid w:val="004941FB"/>
    <w:rsid w:val="00494F1C"/>
    <w:rsid w:val="004A025C"/>
    <w:rsid w:val="004A119E"/>
    <w:rsid w:val="004C2FB6"/>
    <w:rsid w:val="004C46F6"/>
    <w:rsid w:val="004C78D4"/>
    <w:rsid w:val="004D0E6C"/>
    <w:rsid w:val="004D279F"/>
    <w:rsid w:val="004D55BC"/>
    <w:rsid w:val="004D7971"/>
    <w:rsid w:val="004E066B"/>
    <w:rsid w:val="004E0B80"/>
    <w:rsid w:val="004F0196"/>
    <w:rsid w:val="004F1A82"/>
    <w:rsid w:val="004F43AE"/>
    <w:rsid w:val="004F7A50"/>
    <w:rsid w:val="0051757E"/>
    <w:rsid w:val="005207E7"/>
    <w:rsid w:val="00520B36"/>
    <w:rsid w:val="0052127D"/>
    <w:rsid w:val="00534348"/>
    <w:rsid w:val="00543250"/>
    <w:rsid w:val="00544038"/>
    <w:rsid w:val="00544DE9"/>
    <w:rsid w:val="00546329"/>
    <w:rsid w:val="00560510"/>
    <w:rsid w:val="00563BE1"/>
    <w:rsid w:val="00564F0A"/>
    <w:rsid w:val="00577AEE"/>
    <w:rsid w:val="005A1CF1"/>
    <w:rsid w:val="005A36D5"/>
    <w:rsid w:val="005A73FB"/>
    <w:rsid w:val="005B3A9E"/>
    <w:rsid w:val="005B72AD"/>
    <w:rsid w:val="005B7D0E"/>
    <w:rsid w:val="005D3A19"/>
    <w:rsid w:val="005D6994"/>
    <w:rsid w:val="005F0250"/>
    <w:rsid w:val="005F4E36"/>
    <w:rsid w:val="006048AC"/>
    <w:rsid w:val="00610CA7"/>
    <w:rsid w:val="00621AE6"/>
    <w:rsid w:val="0062524E"/>
    <w:rsid w:val="00626CED"/>
    <w:rsid w:val="006563D9"/>
    <w:rsid w:val="00656FDD"/>
    <w:rsid w:val="00660953"/>
    <w:rsid w:val="00680C5D"/>
    <w:rsid w:val="006855D4"/>
    <w:rsid w:val="00687BB4"/>
    <w:rsid w:val="0069614D"/>
    <w:rsid w:val="00697E58"/>
    <w:rsid w:val="006A2A6F"/>
    <w:rsid w:val="006C26A1"/>
    <w:rsid w:val="006C2BBA"/>
    <w:rsid w:val="006C3E5B"/>
    <w:rsid w:val="006C5CA2"/>
    <w:rsid w:val="006D7262"/>
    <w:rsid w:val="006E1986"/>
    <w:rsid w:val="006E256D"/>
    <w:rsid w:val="006E7699"/>
    <w:rsid w:val="006F1F2F"/>
    <w:rsid w:val="00711C87"/>
    <w:rsid w:val="00721228"/>
    <w:rsid w:val="00724D0D"/>
    <w:rsid w:val="00731247"/>
    <w:rsid w:val="00736F53"/>
    <w:rsid w:val="00737A7B"/>
    <w:rsid w:val="00741E67"/>
    <w:rsid w:val="00746DF9"/>
    <w:rsid w:val="007527BF"/>
    <w:rsid w:val="0076087A"/>
    <w:rsid w:val="0076521A"/>
    <w:rsid w:val="007864E5"/>
    <w:rsid w:val="007A6B8D"/>
    <w:rsid w:val="007B7531"/>
    <w:rsid w:val="007C4C0D"/>
    <w:rsid w:val="007D14C0"/>
    <w:rsid w:val="007D7B4D"/>
    <w:rsid w:val="007F23C4"/>
    <w:rsid w:val="007F3428"/>
    <w:rsid w:val="007F5B33"/>
    <w:rsid w:val="00812AEF"/>
    <w:rsid w:val="0082009C"/>
    <w:rsid w:val="00822FA6"/>
    <w:rsid w:val="00826E1C"/>
    <w:rsid w:val="008346A6"/>
    <w:rsid w:val="0083662C"/>
    <w:rsid w:val="0084434B"/>
    <w:rsid w:val="00855FF0"/>
    <w:rsid w:val="008560A3"/>
    <w:rsid w:val="00856C74"/>
    <w:rsid w:val="008678CF"/>
    <w:rsid w:val="00871502"/>
    <w:rsid w:val="008807F5"/>
    <w:rsid w:val="0088382F"/>
    <w:rsid w:val="008931E6"/>
    <w:rsid w:val="008A23D5"/>
    <w:rsid w:val="008A4539"/>
    <w:rsid w:val="008A6127"/>
    <w:rsid w:val="008B50E0"/>
    <w:rsid w:val="008D56D8"/>
    <w:rsid w:val="008E37DA"/>
    <w:rsid w:val="008F0188"/>
    <w:rsid w:val="008F14E0"/>
    <w:rsid w:val="008F24DA"/>
    <w:rsid w:val="008F3369"/>
    <w:rsid w:val="008F7996"/>
    <w:rsid w:val="00904F6C"/>
    <w:rsid w:val="00905928"/>
    <w:rsid w:val="00914D86"/>
    <w:rsid w:val="0092051E"/>
    <w:rsid w:val="00926915"/>
    <w:rsid w:val="0092730E"/>
    <w:rsid w:val="009321F4"/>
    <w:rsid w:val="00932494"/>
    <w:rsid w:val="009453C7"/>
    <w:rsid w:val="00945600"/>
    <w:rsid w:val="00945BE4"/>
    <w:rsid w:val="0094685B"/>
    <w:rsid w:val="00953398"/>
    <w:rsid w:val="00963C07"/>
    <w:rsid w:val="009801D2"/>
    <w:rsid w:val="009859A1"/>
    <w:rsid w:val="00990F40"/>
    <w:rsid w:val="009A1CE0"/>
    <w:rsid w:val="009A5A74"/>
    <w:rsid w:val="009B6DC6"/>
    <w:rsid w:val="009C77A5"/>
    <w:rsid w:val="009D443B"/>
    <w:rsid w:val="009E41F2"/>
    <w:rsid w:val="009E5EDE"/>
    <w:rsid w:val="009F5907"/>
    <w:rsid w:val="009F5AD3"/>
    <w:rsid w:val="00A0758C"/>
    <w:rsid w:val="00A13430"/>
    <w:rsid w:val="00A16138"/>
    <w:rsid w:val="00A21607"/>
    <w:rsid w:val="00A23DCD"/>
    <w:rsid w:val="00A36743"/>
    <w:rsid w:val="00A41964"/>
    <w:rsid w:val="00A468CC"/>
    <w:rsid w:val="00A55AB7"/>
    <w:rsid w:val="00A57747"/>
    <w:rsid w:val="00A57B63"/>
    <w:rsid w:val="00A62B0F"/>
    <w:rsid w:val="00A751FE"/>
    <w:rsid w:val="00A8115D"/>
    <w:rsid w:val="00A83585"/>
    <w:rsid w:val="00A85580"/>
    <w:rsid w:val="00A85CF7"/>
    <w:rsid w:val="00A946A1"/>
    <w:rsid w:val="00AA0403"/>
    <w:rsid w:val="00AA2380"/>
    <w:rsid w:val="00AB0D20"/>
    <w:rsid w:val="00AC0B2D"/>
    <w:rsid w:val="00AC5410"/>
    <w:rsid w:val="00AC6A7C"/>
    <w:rsid w:val="00AD075D"/>
    <w:rsid w:val="00AD13B0"/>
    <w:rsid w:val="00AE44CE"/>
    <w:rsid w:val="00AE4B8F"/>
    <w:rsid w:val="00AF722E"/>
    <w:rsid w:val="00B04A28"/>
    <w:rsid w:val="00B10040"/>
    <w:rsid w:val="00B1249A"/>
    <w:rsid w:val="00B2031E"/>
    <w:rsid w:val="00B21192"/>
    <w:rsid w:val="00B221F2"/>
    <w:rsid w:val="00B2298E"/>
    <w:rsid w:val="00B25011"/>
    <w:rsid w:val="00B37BFA"/>
    <w:rsid w:val="00B41D74"/>
    <w:rsid w:val="00B42CCC"/>
    <w:rsid w:val="00B51DBC"/>
    <w:rsid w:val="00B5519D"/>
    <w:rsid w:val="00B5591D"/>
    <w:rsid w:val="00B91B8B"/>
    <w:rsid w:val="00B96405"/>
    <w:rsid w:val="00BA065E"/>
    <w:rsid w:val="00BA0D59"/>
    <w:rsid w:val="00BA2CEA"/>
    <w:rsid w:val="00BB043F"/>
    <w:rsid w:val="00BC6501"/>
    <w:rsid w:val="00BE26EF"/>
    <w:rsid w:val="00BE37F7"/>
    <w:rsid w:val="00BF4A00"/>
    <w:rsid w:val="00C00E7A"/>
    <w:rsid w:val="00C11053"/>
    <w:rsid w:val="00C22E17"/>
    <w:rsid w:val="00C265AB"/>
    <w:rsid w:val="00C40F43"/>
    <w:rsid w:val="00C460D4"/>
    <w:rsid w:val="00C71228"/>
    <w:rsid w:val="00C82C7D"/>
    <w:rsid w:val="00C835FF"/>
    <w:rsid w:val="00C85535"/>
    <w:rsid w:val="00C866F5"/>
    <w:rsid w:val="00CB6F02"/>
    <w:rsid w:val="00CD081A"/>
    <w:rsid w:val="00CD2EFD"/>
    <w:rsid w:val="00D00889"/>
    <w:rsid w:val="00D0275D"/>
    <w:rsid w:val="00D12202"/>
    <w:rsid w:val="00D170E0"/>
    <w:rsid w:val="00D24189"/>
    <w:rsid w:val="00D424B3"/>
    <w:rsid w:val="00D6544A"/>
    <w:rsid w:val="00D70DAE"/>
    <w:rsid w:val="00D72E13"/>
    <w:rsid w:val="00D76493"/>
    <w:rsid w:val="00D8199D"/>
    <w:rsid w:val="00D91820"/>
    <w:rsid w:val="00D94F9F"/>
    <w:rsid w:val="00DA6560"/>
    <w:rsid w:val="00DB06CA"/>
    <w:rsid w:val="00DB3B52"/>
    <w:rsid w:val="00DB3FE4"/>
    <w:rsid w:val="00DC2C7A"/>
    <w:rsid w:val="00DC4630"/>
    <w:rsid w:val="00DC7FFE"/>
    <w:rsid w:val="00DF35BB"/>
    <w:rsid w:val="00DF62E6"/>
    <w:rsid w:val="00E016A4"/>
    <w:rsid w:val="00E0358E"/>
    <w:rsid w:val="00E130B1"/>
    <w:rsid w:val="00E20937"/>
    <w:rsid w:val="00E20C3C"/>
    <w:rsid w:val="00E30E2B"/>
    <w:rsid w:val="00E31920"/>
    <w:rsid w:val="00E4679A"/>
    <w:rsid w:val="00E64214"/>
    <w:rsid w:val="00E67938"/>
    <w:rsid w:val="00E7141A"/>
    <w:rsid w:val="00E75675"/>
    <w:rsid w:val="00E80299"/>
    <w:rsid w:val="00E86EFE"/>
    <w:rsid w:val="00E87806"/>
    <w:rsid w:val="00E915EE"/>
    <w:rsid w:val="00EA64A9"/>
    <w:rsid w:val="00EB0482"/>
    <w:rsid w:val="00ED3948"/>
    <w:rsid w:val="00F1179B"/>
    <w:rsid w:val="00F166BD"/>
    <w:rsid w:val="00F4316F"/>
    <w:rsid w:val="00F4553E"/>
    <w:rsid w:val="00F469FC"/>
    <w:rsid w:val="00F51122"/>
    <w:rsid w:val="00F51498"/>
    <w:rsid w:val="00F52091"/>
    <w:rsid w:val="00F5666F"/>
    <w:rsid w:val="00F567B0"/>
    <w:rsid w:val="00F61462"/>
    <w:rsid w:val="00F67A15"/>
    <w:rsid w:val="00F72149"/>
    <w:rsid w:val="00F82E42"/>
    <w:rsid w:val="00F8519B"/>
    <w:rsid w:val="00FB16A4"/>
    <w:rsid w:val="00FD4F9E"/>
    <w:rsid w:val="00FE061B"/>
    <w:rsid w:val="00FE547D"/>
    <w:rsid w:val="00FE596E"/>
    <w:rsid w:val="00FE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FBC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600"/>
    <w:pPr>
      <w:tabs>
        <w:tab w:val="center" w:pos="4252"/>
        <w:tab w:val="right" w:pos="8504"/>
      </w:tabs>
      <w:snapToGrid w:val="0"/>
    </w:pPr>
  </w:style>
  <w:style w:type="character" w:customStyle="1" w:styleId="a4">
    <w:name w:val="ヘッダー (文字)"/>
    <w:basedOn w:val="a0"/>
    <w:link w:val="a3"/>
    <w:uiPriority w:val="99"/>
    <w:rsid w:val="00945600"/>
    <w:rPr>
      <w:kern w:val="2"/>
      <w:sz w:val="22"/>
      <w:szCs w:val="22"/>
      <w:lang w:eastAsia="ja-JP"/>
    </w:rPr>
  </w:style>
  <w:style w:type="paragraph" w:styleId="a5">
    <w:name w:val="footer"/>
    <w:basedOn w:val="a"/>
    <w:link w:val="a6"/>
    <w:uiPriority w:val="99"/>
    <w:unhideWhenUsed/>
    <w:rsid w:val="00945600"/>
    <w:pPr>
      <w:tabs>
        <w:tab w:val="center" w:pos="4252"/>
        <w:tab w:val="right" w:pos="8504"/>
      </w:tabs>
      <w:snapToGrid w:val="0"/>
    </w:pPr>
  </w:style>
  <w:style w:type="character" w:customStyle="1" w:styleId="a6">
    <w:name w:val="フッター (文字)"/>
    <w:basedOn w:val="a0"/>
    <w:link w:val="a5"/>
    <w:uiPriority w:val="99"/>
    <w:rsid w:val="00945600"/>
    <w:rPr>
      <w:kern w:val="2"/>
      <w:sz w:val="22"/>
      <w:szCs w:val="22"/>
      <w:lang w:eastAsia="ja-JP"/>
    </w:rPr>
  </w:style>
  <w:style w:type="paragraph" w:styleId="a7">
    <w:name w:val="Date"/>
    <w:basedOn w:val="a"/>
    <w:next w:val="a"/>
    <w:link w:val="a8"/>
    <w:uiPriority w:val="99"/>
    <w:semiHidden/>
    <w:unhideWhenUsed/>
    <w:rsid w:val="008F14E0"/>
  </w:style>
  <w:style w:type="character" w:customStyle="1" w:styleId="a8">
    <w:name w:val="日付 (文字)"/>
    <w:basedOn w:val="a0"/>
    <w:link w:val="a7"/>
    <w:uiPriority w:val="99"/>
    <w:semiHidden/>
    <w:rsid w:val="008F14E0"/>
    <w:rPr>
      <w:kern w:val="2"/>
      <w:sz w:val="22"/>
      <w:szCs w:val="22"/>
      <w:lang w:eastAsia="ja-JP"/>
    </w:rPr>
  </w:style>
  <w:style w:type="character" w:styleId="a9">
    <w:name w:val="annotation reference"/>
    <w:basedOn w:val="a0"/>
    <w:uiPriority w:val="99"/>
    <w:semiHidden/>
    <w:unhideWhenUsed/>
    <w:rsid w:val="00DC7FFE"/>
    <w:rPr>
      <w:sz w:val="18"/>
      <w:szCs w:val="18"/>
    </w:rPr>
  </w:style>
  <w:style w:type="paragraph" w:styleId="aa">
    <w:name w:val="annotation text"/>
    <w:basedOn w:val="a"/>
    <w:link w:val="ab"/>
    <w:uiPriority w:val="99"/>
    <w:unhideWhenUsed/>
    <w:rsid w:val="00DC7FFE"/>
    <w:pPr>
      <w:jc w:val="left"/>
    </w:pPr>
  </w:style>
  <w:style w:type="character" w:customStyle="1" w:styleId="ab">
    <w:name w:val="コメント文字列 (文字)"/>
    <w:basedOn w:val="a0"/>
    <w:link w:val="aa"/>
    <w:uiPriority w:val="99"/>
    <w:rsid w:val="00DC7FFE"/>
    <w:rPr>
      <w:kern w:val="2"/>
      <w:sz w:val="22"/>
      <w:szCs w:val="22"/>
      <w:lang w:eastAsia="ja-JP"/>
    </w:rPr>
  </w:style>
  <w:style w:type="paragraph" w:styleId="ac">
    <w:name w:val="annotation subject"/>
    <w:basedOn w:val="aa"/>
    <w:next w:val="aa"/>
    <w:link w:val="ad"/>
    <w:uiPriority w:val="99"/>
    <w:semiHidden/>
    <w:unhideWhenUsed/>
    <w:rsid w:val="00DC7FFE"/>
    <w:rPr>
      <w:b/>
      <w:bCs/>
    </w:rPr>
  </w:style>
  <w:style w:type="character" w:customStyle="1" w:styleId="ad">
    <w:name w:val="コメント内容 (文字)"/>
    <w:basedOn w:val="ab"/>
    <w:link w:val="ac"/>
    <w:uiPriority w:val="99"/>
    <w:semiHidden/>
    <w:rsid w:val="00DC7FFE"/>
    <w:rPr>
      <w:b/>
      <w:bCs/>
      <w:kern w:val="2"/>
      <w:sz w:val="22"/>
      <w:szCs w:val="22"/>
      <w:lang w:eastAsia="ja-JP"/>
    </w:rPr>
  </w:style>
  <w:style w:type="paragraph" w:styleId="ae">
    <w:name w:val="Balloon Text"/>
    <w:basedOn w:val="a"/>
    <w:link w:val="af"/>
    <w:uiPriority w:val="99"/>
    <w:semiHidden/>
    <w:unhideWhenUsed/>
    <w:rsid w:val="00DC7FF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C7FFE"/>
    <w:rPr>
      <w:rFonts w:asciiTheme="majorHAnsi" w:eastAsiaTheme="majorEastAsia" w:hAnsiTheme="majorHAnsi" w:cstheme="majorBidi"/>
      <w:kern w:val="2"/>
      <w:sz w:val="18"/>
      <w:szCs w:val="18"/>
      <w:lang w:eastAsia="ja-JP"/>
    </w:rPr>
  </w:style>
  <w:style w:type="paragraph" w:styleId="af0">
    <w:name w:val="Revision"/>
    <w:hidden/>
    <w:uiPriority w:val="99"/>
    <w:semiHidden/>
    <w:rsid w:val="000354E6"/>
    <w:rPr>
      <w:kern w:val="2"/>
      <w:sz w:val="22"/>
      <w:szCs w:val="22"/>
      <w:lang w:eastAsia="ja-JP"/>
    </w:rPr>
  </w:style>
  <w:style w:type="paragraph" w:styleId="af1">
    <w:name w:val="List Paragraph"/>
    <w:basedOn w:val="a"/>
    <w:uiPriority w:val="34"/>
    <w:qFormat/>
    <w:rsid w:val="00D94F9F"/>
    <w:pPr>
      <w:ind w:leftChars="400" w:left="840"/>
    </w:pPr>
  </w:style>
  <w:style w:type="table" w:styleId="af2">
    <w:name w:val="Table Grid"/>
    <w:basedOn w:val="a1"/>
    <w:uiPriority w:val="39"/>
    <w:rsid w:val="000D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2021-09-08T05:11:00Z</dcterms:created>
  <dcterms:modified xsi:type="dcterms:W3CDTF">2021-09-16T06:41:00Z</dcterms:modified>
</cp:coreProperties>
</file>