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2FB30" w14:textId="20DEB6AD" w:rsidR="008704F5" w:rsidRPr="008704F5" w:rsidRDefault="008704F5" w:rsidP="008704F5">
      <w:pPr>
        <w:jc w:val="center"/>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59264" behindDoc="0" locked="0" layoutInCell="1" allowOverlap="1" wp14:anchorId="1B12CF1C" wp14:editId="7D6CB610">
                <wp:simplePos x="0" y="0"/>
                <wp:positionH relativeFrom="column">
                  <wp:posOffset>5362575</wp:posOffset>
                </wp:positionH>
                <wp:positionV relativeFrom="paragraph">
                  <wp:posOffset>-228600</wp:posOffset>
                </wp:positionV>
                <wp:extent cx="9906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90600" cy="352425"/>
                        </a:xfrm>
                        <a:prstGeom prst="rect">
                          <a:avLst/>
                        </a:prstGeom>
                        <a:solidFill>
                          <a:schemeClr val="lt1"/>
                        </a:solidFill>
                        <a:ln w="6350">
                          <a:solidFill>
                            <a:prstClr val="black"/>
                          </a:solidFill>
                        </a:ln>
                      </wps:spPr>
                      <wps:txbx>
                        <w:txbxContent>
                          <w:p w14:paraId="4DD1881D" w14:textId="7EF72D48" w:rsidR="008704F5" w:rsidRPr="008704F5" w:rsidRDefault="008704F5" w:rsidP="008704F5">
                            <w:pPr>
                              <w:jc w:val="center"/>
                              <w:rPr>
                                <w:rFonts w:ascii="Meiryo UI" w:eastAsia="Meiryo UI" w:hAnsi="Meiryo UI"/>
                              </w:rPr>
                            </w:pPr>
                            <w:r w:rsidRPr="008704F5">
                              <w:rPr>
                                <w:rFonts w:ascii="Meiryo UI" w:eastAsia="Meiryo UI" w:hAnsi="Meiryo UI" w:hint="eastAsia"/>
                              </w:rPr>
                              <w:t>資料１－１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B12CF1C" id="_x0000_t202" coordsize="21600,21600" o:spt="202" path="m,l,21600r21600,l21600,xe">
                <v:stroke joinstyle="miter"/>
                <v:path gradientshapeok="t" o:connecttype="rect"/>
              </v:shapetype>
              <v:shape id="テキスト ボックス 1" o:spid="_x0000_s1026" type="#_x0000_t202" style="position:absolute;left:0;text-align:left;margin-left:422.25pt;margin-top:-18pt;width:78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" fillcolor="white [3201]" strokeweight=".5pt">
                <v:textbox>
                  <w:txbxContent>
                    <w:p w14:paraId="4DD1881D" w14:textId="7EF72D48" w:rsidR="008704F5" w:rsidRPr="008704F5" w:rsidRDefault="008704F5" w:rsidP="008704F5">
                      <w:pPr>
                        <w:jc w:val="center"/>
                        <w:rPr>
                          <w:rFonts w:ascii="Meiryo UI" w:eastAsia="Meiryo UI" w:hAnsi="Meiryo UI"/>
                        </w:rPr>
                      </w:pPr>
                      <w:r w:rsidRPr="008704F5">
                        <w:rPr>
                          <w:rFonts w:ascii="Meiryo UI" w:eastAsia="Meiryo UI" w:hAnsi="Meiryo UI" w:hint="eastAsia"/>
                        </w:rPr>
                        <w:t>資料１－１</w:t>
                      </w:r>
                    </w:p>
                  </w:txbxContent>
                </v:textbox>
              </v:shape>
            </w:pict>
          </mc:Fallback>
        </mc:AlternateContent>
      </w:r>
      <w:r w:rsidRPr="008704F5">
        <w:rPr>
          <w:rFonts w:ascii="メイリオ" w:eastAsia="メイリオ" w:hAnsi="メイリオ" w:hint="eastAsia"/>
          <w:b/>
          <w:sz w:val="24"/>
          <w:szCs w:val="24"/>
        </w:rPr>
        <w:t>前回部会における主な指摘事項と対応について</w:t>
      </w:r>
    </w:p>
    <w:p w14:paraId="79EF6D0A" w14:textId="71370C9E" w:rsidR="003D5EA4" w:rsidRDefault="003D5EA4" w:rsidP="008D49A9">
      <w:pPr>
        <w:spacing w:line="300" w:lineRule="exact"/>
        <w:rPr>
          <w:rFonts w:ascii="メイリオ" w:eastAsia="メイリオ" w:hAnsi="メイリオ"/>
        </w:rPr>
      </w:pPr>
    </w:p>
    <w:p w14:paraId="67EC107E" w14:textId="61302B2F" w:rsidR="003D5EA4" w:rsidRPr="003D5EA4" w:rsidRDefault="003D5EA4" w:rsidP="008D49A9">
      <w:pPr>
        <w:spacing w:line="300" w:lineRule="exact"/>
        <w:rPr>
          <w:rFonts w:ascii="メイリオ" w:eastAsia="メイリオ" w:hAnsi="メイリオ"/>
          <w:b/>
          <w:bCs/>
        </w:rPr>
      </w:pPr>
      <w:r w:rsidRPr="003D5EA4">
        <w:rPr>
          <w:rFonts w:ascii="メイリオ" w:eastAsia="メイリオ" w:hAnsi="メイリオ" w:hint="eastAsia"/>
          <w:b/>
          <w:bCs/>
        </w:rPr>
        <w:t>＜</w:t>
      </w:r>
      <w:r w:rsidR="004D4F43">
        <w:rPr>
          <w:rFonts w:ascii="メイリオ" w:eastAsia="メイリオ" w:hAnsi="メイリオ" w:hint="eastAsia"/>
          <w:b/>
          <w:bCs/>
        </w:rPr>
        <w:t>発生抑制</w:t>
      </w:r>
      <w:r w:rsidRPr="003D5EA4">
        <w:rPr>
          <w:rFonts w:ascii="メイリオ" w:eastAsia="メイリオ" w:hAnsi="メイリオ" w:hint="eastAsia"/>
          <w:b/>
          <w:bCs/>
        </w:rPr>
        <w:t>対策の考え方＞</w:t>
      </w:r>
    </w:p>
    <w:tbl>
      <w:tblPr>
        <w:tblStyle w:val="a9"/>
        <w:tblpPr w:leftFromText="142" w:rightFromText="142" w:vertAnchor="text" w:horzAnchor="margin" w:tblpY="31"/>
        <w:tblW w:w="9918" w:type="dxa"/>
        <w:tblLook w:val="04A0" w:firstRow="1" w:lastRow="0" w:firstColumn="1" w:lastColumn="0" w:noHBand="0" w:noVBand="1"/>
      </w:tblPr>
      <w:tblGrid>
        <w:gridCol w:w="5098"/>
        <w:gridCol w:w="4820"/>
      </w:tblGrid>
      <w:tr w:rsidR="003D5EA4" w:rsidRPr="00D012DD" w14:paraId="0302123D" w14:textId="77777777" w:rsidTr="004D4F43">
        <w:trPr>
          <w:trHeight w:val="388"/>
        </w:trPr>
        <w:tc>
          <w:tcPr>
            <w:tcW w:w="5098" w:type="dxa"/>
            <w:tcBorders>
              <w:bottom w:val="single" w:sz="4" w:space="0" w:color="auto"/>
            </w:tcBorders>
          </w:tcPr>
          <w:p w14:paraId="4ABDC0CF" w14:textId="77777777" w:rsidR="003D5EA4" w:rsidRPr="00D012DD" w:rsidRDefault="003D5EA4" w:rsidP="004D4F43">
            <w:pPr>
              <w:widowControl/>
              <w:spacing w:line="300" w:lineRule="exact"/>
              <w:jc w:val="left"/>
              <w:rPr>
                <w:rFonts w:ascii="メイリオ" w:eastAsia="メイリオ" w:hAnsi="メイリオ" w:cs="ＭＳ Ｐゴシック"/>
                <w:kern w:val="0"/>
                <w:sz w:val="20"/>
                <w:szCs w:val="20"/>
              </w:rPr>
            </w:pPr>
            <w:bookmarkStart w:id="0" w:name="_Hlk43353976"/>
            <w:r w:rsidRPr="00D012DD">
              <w:rPr>
                <w:rFonts w:ascii="メイリオ" w:eastAsia="メイリオ" w:hAnsi="メイリオ" w:cs="ＭＳ Ｐゴシック" w:hint="eastAsia"/>
                <w:kern w:val="0"/>
                <w:sz w:val="20"/>
                <w:szCs w:val="20"/>
              </w:rPr>
              <w:t>主な指摘事項</w:t>
            </w:r>
          </w:p>
        </w:tc>
        <w:tc>
          <w:tcPr>
            <w:tcW w:w="4820" w:type="dxa"/>
          </w:tcPr>
          <w:p w14:paraId="6C9AA03C" w14:textId="77777777" w:rsidR="003D5EA4" w:rsidRPr="00D012DD" w:rsidRDefault="003D5EA4" w:rsidP="004D4F43">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対応案</w:t>
            </w:r>
          </w:p>
        </w:tc>
      </w:tr>
      <w:bookmarkEnd w:id="0"/>
      <w:tr w:rsidR="003D5EA4" w:rsidRPr="00D012DD" w14:paraId="1D678C8C" w14:textId="77777777" w:rsidTr="004D4F43">
        <w:trPr>
          <w:trHeight w:val="900"/>
        </w:trPr>
        <w:tc>
          <w:tcPr>
            <w:tcW w:w="5098" w:type="dxa"/>
            <w:tcBorders>
              <w:bottom w:val="single" w:sz="4" w:space="0" w:color="auto"/>
            </w:tcBorders>
            <w:hideMark/>
          </w:tcPr>
          <w:p w14:paraId="7AB7207B" w14:textId="3726FFF7" w:rsidR="003D5EA4" w:rsidRPr="00617F04" w:rsidRDefault="00D537D7" w:rsidP="004D4F43">
            <w:pPr>
              <w:widowControl/>
              <w:spacing w:line="300" w:lineRule="exact"/>
              <w:jc w:val="left"/>
              <w:rPr>
                <w:rFonts w:ascii="メイリオ" w:eastAsia="メイリオ" w:hAnsi="メイリオ" w:cs="ＭＳ Ｐゴシック"/>
                <w:kern w:val="0"/>
                <w:sz w:val="20"/>
                <w:szCs w:val="20"/>
              </w:rPr>
            </w:pPr>
            <w:r w:rsidRPr="00617F04">
              <w:rPr>
                <w:rFonts w:ascii="メイリオ" w:eastAsia="メイリオ" w:hAnsi="メイリオ" w:cs="ＭＳ Ｐゴシック" w:hint="eastAsia"/>
                <w:kern w:val="0"/>
                <w:sz w:val="20"/>
                <w:szCs w:val="20"/>
              </w:rPr>
              <w:t>海岸漂着物中のプラスチックごみには、プラスチック</w:t>
            </w:r>
            <w:r w:rsidR="003D5EA4" w:rsidRPr="00617F04">
              <w:rPr>
                <w:rFonts w:ascii="メイリオ" w:eastAsia="メイリオ" w:hAnsi="メイリオ" w:cs="ＭＳ Ｐゴシック" w:hint="eastAsia"/>
                <w:kern w:val="0"/>
                <w:sz w:val="20"/>
                <w:szCs w:val="20"/>
              </w:rPr>
              <w:t>ごみ、一次</w:t>
            </w:r>
            <w:r w:rsidRPr="00617F04">
              <w:rPr>
                <w:rFonts w:ascii="メイリオ" w:eastAsia="メイリオ" w:hAnsi="メイリオ" w:cs="ＭＳ Ｐゴシック" w:hint="eastAsia"/>
                <w:kern w:val="0"/>
                <w:sz w:val="20"/>
                <w:szCs w:val="20"/>
              </w:rPr>
              <w:t>マイクロプラスチック</w:t>
            </w:r>
            <w:r w:rsidR="003D5EA4" w:rsidRPr="00617F04">
              <w:rPr>
                <w:rFonts w:ascii="メイリオ" w:eastAsia="メイリオ" w:hAnsi="メイリオ" w:cs="ＭＳ Ｐゴシック" w:hint="eastAsia"/>
                <w:kern w:val="0"/>
                <w:sz w:val="20"/>
                <w:szCs w:val="20"/>
              </w:rPr>
              <w:t>、二次</w:t>
            </w:r>
            <w:r w:rsidRPr="00617F04">
              <w:rPr>
                <w:rFonts w:ascii="メイリオ" w:eastAsia="メイリオ" w:hAnsi="メイリオ" w:cs="ＭＳ Ｐゴシック" w:hint="eastAsia"/>
                <w:kern w:val="0"/>
                <w:sz w:val="20"/>
                <w:szCs w:val="20"/>
              </w:rPr>
              <w:t>マイクロプラスチック</w:t>
            </w:r>
            <w:r w:rsidR="003D5EA4" w:rsidRPr="00617F04">
              <w:rPr>
                <w:rFonts w:ascii="メイリオ" w:eastAsia="メイリオ" w:hAnsi="メイリオ" w:cs="ＭＳ Ｐゴシック" w:hint="eastAsia"/>
                <w:kern w:val="0"/>
                <w:sz w:val="20"/>
                <w:szCs w:val="20"/>
              </w:rPr>
              <w:t>の３種類あり、整理して議論しないといけない。</w:t>
            </w:r>
            <w:bookmarkStart w:id="1" w:name="_GoBack"/>
            <w:bookmarkEnd w:id="1"/>
          </w:p>
          <w:p w14:paraId="0A33DBB7" w14:textId="77777777" w:rsidR="004D4F43" w:rsidRPr="00617F04" w:rsidRDefault="004D4F43" w:rsidP="004D4F43">
            <w:pPr>
              <w:widowControl/>
              <w:spacing w:line="300" w:lineRule="exact"/>
              <w:jc w:val="left"/>
              <w:rPr>
                <w:rFonts w:ascii="メイリオ" w:eastAsia="メイリオ" w:hAnsi="メイリオ" w:cs="ＭＳ Ｐゴシック"/>
                <w:kern w:val="0"/>
                <w:sz w:val="20"/>
                <w:szCs w:val="20"/>
              </w:rPr>
            </w:pPr>
          </w:p>
          <w:p w14:paraId="1EB353F2" w14:textId="77777777" w:rsidR="004D4F43" w:rsidRPr="00617F04" w:rsidRDefault="004D4F43" w:rsidP="004D4F43">
            <w:pPr>
              <w:widowControl/>
              <w:spacing w:line="300" w:lineRule="exact"/>
              <w:jc w:val="left"/>
              <w:rPr>
                <w:rFonts w:ascii="メイリオ" w:eastAsia="メイリオ" w:hAnsi="メイリオ" w:cs="ＭＳ Ｐゴシック"/>
                <w:kern w:val="0"/>
                <w:sz w:val="20"/>
                <w:szCs w:val="20"/>
              </w:rPr>
            </w:pPr>
          </w:p>
          <w:p w14:paraId="01826C21" w14:textId="0280B52E" w:rsidR="004D4F43" w:rsidRPr="00617F04" w:rsidRDefault="004D4F43" w:rsidP="004D4F43">
            <w:pPr>
              <w:widowControl/>
              <w:spacing w:line="300" w:lineRule="exact"/>
              <w:jc w:val="left"/>
              <w:rPr>
                <w:rFonts w:ascii="メイリオ" w:eastAsia="メイリオ" w:hAnsi="メイリオ" w:cs="ＭＳ Ｐゴシック"/>
                <w:kern w:val="0"/>
                <w:sz w:val="20"/>
                <w:szCs w:val="20"/>
              </w:rPr>
            </w:pPr>
          </w:p>
        </w:tc>
        <w:tc>
          <w:tcPr>
            <w:tcW w:w="4820" w:type="dxa"/>
            <w:tcBorders>
              <w:bottom w:val="single" w:sz="4" w:space="0" w:color="auto"/>
            </w:tcBorders>
            <w:hideMark/>
          </w:tcPr>
          <w:p w14:paraId="037AE9CA" w14:textId="77777777" w:rsidR="003D5EA4" w:rsidRPr="00617F04" w:rsidRDefault="003D5EA4" w:rsidP="004D4F43">
            <w:pPr>
              <w:widowControl/>
              <w:spacing w:line="300" w:lineRule="exact"/>
              <w:jc w:val="left"/>
              <w:rPr>
                <w:rFonts w:ascii="メイリオ" w:eastAsia="メイリオ" w:hAnsi="メイリオ" w:cs="ＭＳ Ｐゴシック"/>
                <w:kern w:val="0"/>
                <w:sz w:val="20"/>
                <w:szCs w:val="20"/>
              </w:rPr>
            </w:pPr>
            <w:r w:rsidRPr="00617F04">
              <w:rPr>
                <w:rFonts w:ascii="メイリオ" w:eastAsia="メイリオ" w:hAnsi="メイリオ" w:cs="ＭＳ Ｐゴシック" w:hint="eastAsia"/>
                <w:kern w:val="0"/>
                <w:sz w:val="20"/>
                <w:szCs w:val="20"/>
              </w:rPr>
              <w:t>発生抑制対策を検討するにあたり、プラスチックごみのサイズはもとより、原因となる元の製品毎に、必要な対策とそれを実施する主体、行政として実施すべき取組について整理する</w:t>
            </w:r>
          </w:p>
        </w:tc>
      </w:tr>
      <w:tr w:rsidR="004D4F43" w:rsidRPr="00D012DD" w14:paraId="4E76AD6A" w14:textId="77777777" w:rsidTr="004D4F43">
        <w:trPr>
          <w:trHeight w:val="840"/>
        </w:trPr>
        <w:tc>
          <w:tcPr>
            <w:tcW w:w="5098" w:type="dxa"/>
            <w:tcBorders>
              <w:top w:val="single" w:sz="4" w:space="0" w:color="auto"/>
            </w:tcBorders>
            <w:hideMark/>
          </w:tcPr>
          <w:p w14:paraId="288796FB" w14:textId="77777777" w:rsidR="004D4F43" w:rsidRPr="00617F04" w:rsidRDefault="004D4F43" w:rsidP="004D4F43">
            <w:pPr>
              <w:widowControl/>
              <w:spacing w:line="300" w:lineRule="exact"/>
              <w:jc w:val="left"/>
              <w:rPr>
                <w:rFonts w:ascii="メイリオ" w:eastAsia="メイリオ" w:hAnsi="メイリオ" w:cs="ＭＳ Ｐゴシック"/>
                <w:kern w:val="0"/>
                <w:sz w:val="20"/>
                <w:szCs w:val="20"/>
              </w:rPr>
            </w:pPr>
            <w:r w:rsidRPr="00617F04">
              <w:rPr>
                <w:rFonts w:ascii="メイリオ" w:eastAsia="メイリオ" w:hAnsi="メイリオ" w:cs="ＭＳ Ｐゴシック" w:hint="eastAsia"/>
                <w:kern w:val="0"/>
                <w:sz w:val="20"/>
                <w:szCs w:val="20"/>
              </w:rPr>
              <w:t>既存の人工芝グラウンドには高性能のフィルター設置促進、新規設置に対して何らかの規制をしていくことも急いで議論しなければいけない論点ではないか。</w:t>
            </w:r>
          </w:p>
        </w:tc>
        <w:tc>
          <w:tcPr>
            <w:tcW w:w="4820" w:type="dxa"/>
            <w:vMerge w:val="restart"/>
            <w:tcBorders>
              <w:top w:val="single" w:sz="4" w:space="0" w:color="auto"/>
            </w:tcBorders>
          </w:tcPr>
          <w:p w14:paraId="6B5D1134" w14:textId="19434570" w:rsidR="004D4F43" w:rsidRPr="00617F04" w:rsidRDefault="00FC6199" w:rsidP="00FC6199">
            <w:pPr>
              <w:spacing w:line="300" w:lineRule="exact"/>
              <w:jc w:val="left"/>
              <w:rPr>
                <w:rFonts w:ascii="メイリオ" w:eastAsia="メイリオ" w:hAnsi="メイリオ" w:cs="ＭＳ Ｐゴシック"/>
                <w:kern w:val="0"/>
                <w:sz w:val="20"/>
                <w:szCs w:val="20"/>
              </w:rPr>
            </w:pPr>
            <w:r w:rsidRPr="00617F04">
              <w:rPr>
                <w:rFonts w:ascii="メイリオ" w:eastAsia="メイリオ" w:hAnsi="メイリオ" w:cs="ＭＳ Ｐゴシック" w:hint="eastAsia"/>
                <w:kern w:val="0"/>
                <w:sz w:val="20"/>
                <w:szCs w:val="20"/>
              </w:rPr>
              <w:t>当面、既存の知見による発生抑制を行いつつ、その実績・成果や国内外の先進事例を踏まえて、きめ細かい対策や的を絞った制度を検討するなど、２段階のフェーズに分けて取組を進めていくことが適切と考える。</w:t>
            </w:r>
            <w:r w:rsidR="004D4F43" w:rsidRPr="00617F04">
              <w:rPr>
                <w:rFonts w:ascii="メイリオ" w:eastAsia="メイリオ" w:hAnsi="メイリオ" w:cs="ＭＳ Ｐゴシック" w:hint="eastAsia"/>
                <w:kern w:val="0"/>
                <w:sz w:val="20"/>
                <w:szCs w:val="20"/>
              </w:rPr>
              <w:t>目指すべきは、ブルーオーシャンビジョンの目指す姿であり、それを府民の行動につなげることが重要と認識している。</w:t>
            </w:r>
          </w:p>
          <w:p w14:paraId="348B4EA4" w14:textId="77777777" w:rsidR="00D537D7" w:rsidRPr="00617F04" w:rsidRDefault="00D537D7" w:rsidP="004B2848">
            <w:pPr>
              <w:spacing w:line="300" w:lineRule="exact"/>
              <w:jc w:val="left"/>
              <w:rPr>
                <w:rFonts w:ascii="メイリオ" w:eastAsia="メイリオ" w:hAnsi="メイリオ" w:cs="ＭＳ Ｐゴシック"/>
                <w:kern w:val="0"/>
                <w:sz w:val="20"/>
                <w:szCs w:val="20"/>
              </w:rPr>
            </w:pPr>
          </w:p>
          <w:p w14:paraId="74B7E91B" w14:textId="01B8AD70" w:rsidR="00FC6199" w:rsidRPr="00617F04" w:rsidRDefault="00FC6199" w:rsidP="00D537D7">
            <w:pPr>
              <w:spacing w:line="300" w:lineRule="exact"/>
              <w:jc w:val="left"/>
              <w:rPr>
                <w:rFonts w:ascii="メイリオ" w:eastAsia="メイリオ" w:hAnsi="メイリオ" w:cs="ＭＳ Ｐゴシック"/>
                <w:kern w:val="0"/>
                <w:sz w:val="20"/>
                <w:szCs w:val="20"/>
              </w:rPr>
            </w:pPr>
          </w:p>
        </w:tc>
      </w:tr>
      <w:tr w:rsidR="004D4F43" w:rsidRPr="00D012DD" w14:paraId="2E9E0A59" w14:textId="77777777" w:rsidTr="004D4F43">
        <w:trPr>
          <w:trHeight w:val="840"/>
        </w:trPr>
        <w:tc>
          <w:tcPr>
            <w:tcW w:w="5098" w:type="dxa"/>
          </w:tcPr>
          <w:p w14:paraId="1B95C776" w14:textId="11E012EC" w:rsidR="004D4F43" w:rsidRPr="00D012DD" w:rsidRDefault="004D4F43" w:rsidP="004D4F43">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どれだけ影響度があるかないかがわからない以上、現時点ではいきなり規制というのは難しい。規制すると逆に製造する側に経済的リスクが生じる</w:t>
            </w:r>
          </w:p>
        </w:tc>
        <w:tc>
          <w:tcPr>
            <w:tcW w:w="4820" w:type="dxa"/>
            <w:vMerge/>
          </w:tcPr>
          <w:p w14:paraId="5C11B6C8" w14:textId="621600C7" w:rsidR="004D4F43" w:rsidRPr="00D012DD" w:rsidRDefault="004D4F43" w:rsidP="004B2848">
            <w:pPr>
              <w:spacing w:line="300" w:lineRule="exact"/>
              <w:jc w:val="left"/>
              <w:rPr>
                <w:rFonts w:ascii="メイリオ" w:eastAsia="メイリオ" w:hAnsi="メイリオ" w:cs="ＭＳ Ｐゴシック"/>
                <w:kern w:val="0"/>
                <w:sz w:val="20"/>
                <w:szCs w:val="20"/>
              </w:rPr>
            </w:pPr>
          </w:p>
        </w:tc>
      </w:tr>
      <w:tr w:rsidR="004D4F43" w:rsidRPr="00D012DD" w14:paraId="4E8CDF2E" w14:textId="77777777" w:rsidTr="004D4F43">
        <w:trPr>
          <w:trHeight w:val="840"/>
        </w:trPr>
        <w:tc>
          <w:tcPr>
            <w:tcW w:w="5098" w:type="dxa"/>
          </w:tcPr>
          <w:p w14:paraId="12F86752" w14:textId="035A4C02" w:rsidR="004D4F43" w:rsidRPr="00D012DD" w:rsidRDefault="004D4F43" w:rsidP="004D4F43">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脱プラスチックが世界的な大きな流れになっている中で、既存の、特に使い捨てプラスチック製品、これを漫然とつくり続けるリスクもある。規制を強化することで短期的なダメージはあっても業態転換を積極的に支援していくということがおそらく必要。環境規制をしていくときに、目指すべき姿が何なのかというゴールを明確にすることは非常に大事</w:t>
            </w:r>
          </w:p>
        </w:tc>
        <w:tc>
          <w:tcPr>
            <w:tcW w:w="4820" w:type="dxa"/>
            <w:vMerge/>
          </w:tcPr>
          <w:p w14:paraId="5EA0814A" w14:textId="10ABA4EB" w:rsidR="004D4F43" w:rsidRPr="00D012DD" w:rsidRDefault="004D4F43" w:rsidP="004D4F43">
            <w:pPr>
              <w:widowControl/>
              <w:spacing w:line="300" w:lineRule="exact"/>
              <w:jc w:val="left"/>
              <w:rPr>
                <w:rFonts w:ascii="メイリオ" w:eastAsia="メイリオ" w:hAnsi="メイリオ" w:cs="ＭＳ Ｐゴシック"/>
                <w:kern w:val="0"/>
                <w:sz w:val="20"/>
                <w:szCs w:val="20"/>
              </w:rPr>
            </w:pPr>
          </w:p>
        </w:tc>
      </w:tr>
      <w:tr w:rsidR="004D4F43" w:rsidRPr="00D012DD" w14:paraId="3BAF4155" w14:textId="77777777" w:rsidTr="004D4F43">
        <w:trPr>
          <w:trHeight w:val="840"/>
        </w:trPr>
        <w:tc>
          <w:tcPr>
            <w:tcW w:w="5098" w:type="dxa"/>
          </w:tcPr>
          <w:p w14:paraId="1E71888F" w14:textId="34A9838B" w:rsidR="004D4F43" w:rsidRPr="00D012DD" w:rsidRDefault="004D4F43" w:rsidP="004D4F43">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二次マイクロプラスチックの出てくるパスは定性的には理解されているので、それについては当然啓発をして、発生が促進されるような利用の仕方はやめましょう、という方向性での施策というのは当然打っていく必要がある</w:t>
            </w:r>
          </w:p>
        </w:tc>
        <w:tc>
          <w:tcPr>
            <w:tcW w:w="4820" w:type="dxa"/>
          </w:tcPr>
          <w:p w14:paraId="3871DA70" w14:textId="77777777" w:rsidR="004D4F43" w:rsidRDefault="004D4F43" w:rsidP="004D4F43">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昨年度作成した</w:t>
            </w:r>
            <w:r>
              <w:rPr>
                <w:rFonts w:ascii="メイリオ" w:eastAsia="メイリオ" w:hAnsi="メイリオ" w:cs="ＭＳ Ｐゴシック" w:hint="eastAsia"/>
                <w:kern w:val="0"/>
                <w:sz w:val="20"/>
                <w:szCs w:val="20"/>
              </w:rPr>
              <w:t>「海ごみ</w:t>
            </w:r>
            <w:r w:rsidRPr="00D012DD">
              <w:rPr>
                <w:rFonts w:ascii="メイリオ" w:eastAsia="メイリオ" w:hAnsi="メイリオ" w:cs="ＭＳ Ｐゴシック" w:hint="eastAsia"/>
                <w:kern w:val="0"/>
                <w:sz w:val="20"/>
                <w:szCs w:val="20"/>
              </w:rPr>
              <w:t>すごろく</w:t>
            </w:r>
            <w:r>
              <w:rPr>
                <w:rFonts w:ascii="メイリオ" w:eastAsia="メイリオ" w:hAnsi="メイリオ" w:cs="ＭＳ Ｐゴシック" w:hint="eastAsia"/>
                <w:kern w:val="0"/>
                <w:sz w:val="20"/>
                <w:szCs w:val="20"/>
              </w:rPr>
              <w:t>」</w:t>
            </w:r>
            <w:r w:rsidRPr="00D012DD">
              <w:rPr>
                <w:rFonts w:ascii="メイリオ" w:eastAsia="メイリオ" w:hAnsi="メイリオ" w:cs="ＭＳ Ｐゴシック" w:hint="eastAsia"/>
                <w:kern w:val="0"/>
                <w:sz w:val="20"/>
                <w:szCs w:val="20"/>
              </w:rPr>
              <w:t>をはじめ、プラごみについて、これまで判明している事実をわかりやすく啓発・教育することは重要と認識しており、府民の行動変容を促すための仕組みづくりなど、幅広く検討していく。</w:t>
            </w:r>
          </w:p>
          <w:p w14:paraId="0490A24E" w14:textId="4A40F132" w:rsidR="004D4F43" w:rsidRPr="00D012DD" w:rsidRDefault="004D4F43" w:rsidP="004D4F43">
            <w:pPr>
              <w:widowControl/>
              <w:spacing w:line="300" w:lineRule="exact"/>
              <w:jc w:val="left"/>
              <w:rPr>
                <w:rFonts w:ascii="メイリオ" w:eastAsia="メイリオ" w:hAnsi="メイリオ" w:cs="ＭＳ Ｐゴシック"/>
                <w:kern w:val="0"/>
                <w:sz w:val="20"/>
                <w:szCs w:val="20"/>
              </w:rPr>
            </w:pPr>
          </w:p>
        </w:tc>
      </w:tr>
    </w:tbl>
    <w:p w14:paraId="2D3F6C30" w14:textId="5E6C51ED" w:rsidR="003D5EA4" w:rsidRDefault="003D5EA4" w:rsidP="008D49A9">
      <w:pPr>
        <w:spacing w:line="300" w:lineRule="exact"/>
        <w:rPr>
          <w:rFonts w:ascii="メイリオ" w:eastAsia="メイリオ" w:hAnsi="メイリオ"/>
        </w:rPr>
      </w:pPr>
    </w:p>
    <w:p w14:paraId="53A1379F" w14:textId="13750521" w:rsidR="003D5EA4" w:rsidRPr="003D5EA4" w:rsidRDefault="003D5EA4" w:rsidP="008D49A9">
      <w:pPr>
        <w:spacing w:line="300" w:lineRule="exact"/>
        <w:rPr>
          <w:rFonts w:ascii="メイリオ" w:eastAsia="メイリオ" w:hAnsi="メイリオ"/>
          <w:b/>
          <w:bCs/>
        </w:rPr>
      </w:pPr>
      <w:r w:rsidRPr="003D5EA4">
        <w:rPr>
          <w:rFonts w:ascii="メイリオ" w:eastAsia="メイリオ" w:hAnsi="メイリオ" w:hint="eastAsia"/>
          <w:b/>
          <w:bCs/>
        </w:rPr>
        <w:t>＜実態把握＞</w:t>
      </w:r>
    </w:p>
    <w:tbl>
      <w:tblPr>
        <w:tblStyle w:val="a9"/>
        <w:tblpPr w:leftFromText="142" w:rightFromText="142" w:vertAnchor="text" w:tblpY="53"/>
        <w:tblW w:w="9918" w:type="dxa"/>
        <w:tblLook w:val="04A0" w:firstRow="1" w:lastRow="0" w:firstColumn="1" w:lastColumn="0" w:noHBand="0" w:noVBand="1"/>
      </w:tblPr>
      <w:tblGrid>
        <w:gridCol w:w="5098"/>
        <w:gridCol w:w="4820"/>
      </w:tblGrid>
      <w:tr w:rsidR="003D5EA4" w:rsidRPr="00D012DD" w14:paraId="067CAEC1" w14:textId="77777777" w:rsidTr="003D5EA4">
        <w:trPr>
          <w:trHeight w:val="274"/>
        </w:trPr>
        <w:tc>
          <w:tcPr>
            <w:tcW w:w="5098" w:type="dxa"/>
          </w:tcPr>
          <w:p w14:paraId="347259D1" w14:textId="743B0751" w:rsidR="003D5EA4" w:rsidRPr="00D012DD" w:rsidRDefault="003D5EA4" w:rsidP="003D5EA4">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主な指定事項</w:t>
            </w:r>
          </w:p>
        </w:tc>
        <w:tc>
          <w:tcPr>
            <w:tcW w:w="4820" w:type="dxa"/>
          </w:tcPr>
          <w:p w14:paraId="21EC6F75" w14:textId="6E048167" w:rsidR="003D5EA4" w:rsidRPr="00D012DD" w:rsidRDefault="003D5EA4" w:rsidP="003D5EA4">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対応案</w:t>
            </w:r>
          </w:p>
        </w:tc>
      </w:tr>
      <w:tr w:rsidR="003D5EA4" w:rsidRPr="00D012DD" w14:paraId="596A5BB2" w14:textId="77777777" w:rsidTr="003D5EA4">
        <w:trPr>
          <w:trHeight w:val="1425"/>
        </w:trPr>
        <w:tc>
          <w:tcPr>
            <w:tcW w:w="5098" w:type="dxa"/>
            <w:hideMark/>
          </w:tcPr>
          <w:p w14:paraId="526775A2" w14:textId="1533CDAD" w:rsidR="003D5EA4" w:rsidRPr="00D012DD" w:rsidRDefault="003D5EA4" w:rsidP="003D5EA4">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将来的に目標・指標、規制値をつくるための土台となるデータの収集活動もしっかりしないといけない。今回の議論の中で基本的な実態把握の努力、モニタリングも含めた努力に関する議論も必ず加えていただきたい</w:t>
            </w:r>
          </w:p>
        </w:tc>
        <w:tc>
          <w:tcPr>
            <w:tcW w:w="4820" w:type="dxa"/>
            <w:hideMark/>
          </w:tcPr>
          <w:p w14:paraId="47C0CB38" w14:textId="77777777" w:rsidR="003D5EA4" w:rsidRDefault="003D5EA4" w:rsidP="003D5EA4">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国や関西広域連合が行う調査とも連携し、国の予算も活用して、府として調査を実施すべき対象、実施手法を検討する。調査を充実するにあたっては行政による正式な方法だけではなく、簡易的な手法や、民間事業者やNPOとの連携等も必要と考える</w:t>
            </w:r>
          </w:p>
          <w:p w14:paraId="66189DCB" w14:textId="7128DD5A" w:rsidR="004D4F43" w:rsidRPr="00D012DD" w:rsidRDefault="004D4F43" w:rsidP="003D5EA4">
            <w:pPr>
              <w:widowControl/>
              <w:spacing w:line="300" w:lineRule="exact"/>
              <w:jc w:val="left"/>
              <w:rPr>
                <w:rFonts w:ascii="メイリオ" w:eastAsia="メイリオ" w:hAnsi="メイリオ" w:cs="ＭＳ Ｐゴシック"/>
                <w:kern w:val="0"/>
                <w:sz w:val="20"/>
                <w:szCs w:val="20"/>
              </w:rPr>
            </w:pPr>
          </w:p>
        </w:tc>
      </w:tr>
      <w:tr w:rsidR="003D5EA4" w:rsidRPr="00D012DD" w14:paraId="3172C804" w14:textId="77777777" w:rsidTr="004D4F43">
        <w:trPr>
          <w:trHeight w:val="1296"/>
        </w:trPr>
        <w:tc>
          <w:tcPr>
            <w:tcW w:w="5098" w:type="dxa"/>
            <w:hideMark/>
          </w:tcPr>
          <w:p w14:paraId="604CAB88" w14:textId="7963E27B" w:rsidR="003D5EA4" w:rsidRPr="00D012DD" w:rsidRDefault="003D5EA4" w:rsidP="003D5EA4">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自然科学的な観点のリスクの定量的な評価に加え、海水浴場として機能しなくなる、あるいは漁業に甚大な影響を与えているという社会的リスクも評価してほしい</w:t>
            </w:r>
          </w:p>
        </w:tc>
        <w:tc>
          <w:tcPr>
            <w:tcW w:w="4820" w:type="dxa"/>
            <w:hideMark/>
          </w:tcPr>
          <w:p w14:paraId="785D6183" w14:textId="17607982" w:rsidR="003D5EA4" w:rsidRPr="00D012DD" w:rsidRDefault="003D5EA4" w:rsidP="004D4F43">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法の目的がまさにご指摘の点を含んでおり、</w:t>
            </w:r>
            <w:r w:rsidR="004D4F43">
              <w:rPr>
                <w:rFonts w:ascii="メイリオ" w:eastAsia="メイリオ" w:hAnsi="メイリオ" w:cs="ＭＳ Ｐゴシック" w:hint="eastAsia"/>
                <w:kern w:val="0"/>
                <w:sz w:val="20"/>
                <w:szCs w:val="20"/>
              </w:rPr>
              <w:t>計画の検討にあたっては、海水浴場としての利用や漁業への影響等についても考慮します。</w:t>
            </w:r>
          </w:p>
        </w:tc>
      </w:tr>
    </w:tbl>
    <w:p w14:paraId="79497A71" w14:textId="2340BFC0" w:rsidR="003D5EA4" w:rsidRDefault="003D5EA4" w:rsidP="008D49A9">
      <w:pPr>
        <w:spacing w:line="300" w:lineRule="exact"/>
        <w:rPr>
          <w:rFonts w:ascii="メイリオ" w:eastAsia="メイリオ" w:hAnsi="メイリオ"/>
        </w:rPr>
      </w:pPr>
    </w:p>
    <w:p w14:paraId="493F90F3" w14:textId="77777777" w:rsidR="00CA10CD" w:rsidRDefault="00CA10CD" w:rsidP="008D49A9">
      <w:pPr>
        <w:spacing w:line="300" w:lineRule="exact"/>
        <w:rPr>
          <w:rFonts w:ascii="メイリオ" w:eastAsia="メイリオ" w:hAnsi="メイリオ"/>
        </w:rPr>
      </w:pPr>
    </w:p>
    <w:p w14:paraId="12EB2AC7" w14:textId="53CDB45E" w:rsidR="003D5EA4" w:rsidRPr="003D5EA4" w:rsidRDefault="003D5EA4" w:rsidP="003D5EA4">
      <w:pPr>
        <w:spacing w:line="300" w:lineRule="exact"/>
        <w:rPr>
          <w:rFonts w:ascii="メイリオ" w:eastAsia="メイリオ" w:hAnsi="メイリオ"/>
          <w:b/>
          <w:bCs/>
        </w:rPr>
      </w:pPr>
      <w:r w:rsidRPr="003D5EA4">
        <w:rPr>
          <w:rFonts w:ascii="メイリオ" w:eastAsia="メイリオ" w:hAnsi="メイリオ" w:hint="eastAsia"/>
          <w:b/>
          <w:bCs/>
        </w:rPr>
        <w:t>＜目標設定＞</w:t>
      </w:r>
    </w:p>
    <w:tbl>
      <w:tblPr>
        <w:tblStyle w:val="a9"/>
        <w:tblW w:w="9918" w:type="dxa"/>
        <w:tblLook w:val="04A0" w:firstRow="1" w:lastRow="0" w:firstColumn="1" w:lastColumn="0" w:noHBand="0" w:noVBand="1"/>
      </w:tblPr>
      <w:tblGrid>
        <w:gridCol w:w="5098"/>
        <w:gridCol w:w="4820"/>
      </w:tblGrid>
      <w:tr w:rsidR="003D5EA4" w:rsidRPr="00D012DD" w14:paraId="2E51F9E7" w14:textId="77777777" w:rsidTr="003D5EA4">
        <w:trPr>
          <w:trHeight w:val="337"/>
        </w:trPr>
        <w:tc>
          <w:tcPr>
            <w:tcW w:w="5098" w:type="dxa"/>
          </w:tcPr>
          <w:p w14:paraId="7CBA3380" w14:textId="5BFFFC21" w:rsidR="003D5EA4" w:rsidRPr="00D012DD" w:rsidRDefault="003D5EA4" w:rsidP="008D49A9">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主な指摘事項</w:t>
            </w:r>
          </w:p>
        </w:tc>
        <w:tc>
          <w:tcPr>
            <w:tcW w:w="4820" w:type="dxa"/>
          </w:tcPr>
          <w:p w14:paraId="0E56ADB0" w14:textId="3D8B1153" w:rsidR="003D5EA4" w:rsidRPr="00D012DD" w:rsidRDefault="003D5EA4" w:rsidP="008D49A9">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対応案</w:t>
            </w:r>
          </w:p>
        </w:tc>
      </w:tr>
      <w:tr w:rsidR="00D012DD" w:rsidRPr="00D012DD" w14:paraId="4CB90831" w14:textId="77777777" w:rsidTr="00D012DD">
        <w:trPr>
          <w:trHeight w:val="1455"/>
        </w:trPr>
        <w:tc>
          <w:tcPr>
            <w:tcW w:w="5098" w:type="dxa"/>
            <w:hideMark/>
          </w:tcPr>
          <w:p w14:paraId="4CB9082F" w14:textId="77777777" w:rsidR="00D012DD" w:rsidRPr="00D012DD" w:rsidRDefault="00D012DD" w:rsidP="008D49A9">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定量的なデータが不足しており、現時点で定量的目標を設定して何か大阪府としてしましょうというのは難しい</w:t>
            </w:r>
          </w:p>
        </w:tc>
        <w:tc>
          <w:tcPr>
            <w:tcW w:w="4820" w:type="dxa"/>
            <w:hideMark/>
          </w:tcPr>
          <w:p w14:paraId="4CB90830" w14:textId="55B36913" w:rsidR="00D012DD" w:rsidRPr="00D012DD" w:rsidRDefault="00D012DD" w:rsidP="008D49A9">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2050年に追加的汚染をゼロにするのが究極目標であり、そ</w:t>
            </w:r>
            <w:r w:rsidRPr="004D4F43">
              <w:rPr>
                <w:rFonts w:ascii="メイリオ" w:eastAsia="メイリオ" w:hAnsi="メイリオ" w:cs="ＭＳ Ｐゴシック" w:hint="eastAsia"/>
                <w:kern w:val="0"/>
                <w:sz w:val="20"/>
                <w:szCs w:val="20"/>
              </w:rPr>
              <w:t>のためにはフローを押さえることが必要と認識。</w:t>
            </w:r>
            <w:r w:rsidR="00CA10CD" w:rsidRPr="004D4F43">
              <w:rPr>
                <w:rFonts w:ascii="メイリオ" w:eastAsia="メイリオ" w:hAnsi="メイリオ" w:cs="ＭＳ Ｐゴシック" w:hint="eastAsia"/>
                <w:kern w:val="0"/>
                <w:sz w:val="20"/>
                <w:szCs w:val="20"/>
              </w:rPr>
              <w:t>例えば</w:t>
            </w:r>
            <w:r w:rsidRPr="004D4F43">
              <w:rPr>
                <w:rFonts w:ascii="メイリオ" w:eastAsia="メイリオ" w:hAnsi="メイリオ" w:cs="ＭＳ Ｐゴシック" w:hint="eastAsia"/>
                <w:kern w:val="0"/>
                <w:sz w:val="20"/>
                <w:szCs w:val="20"/>
              </w:rPr>
              <w:t>淀川等を指標河川と</w:t>
            </w:r>
            <w:r w:rsidR="00CA10CD" w:rsidRPr="004D4F43">
              <w:rPr>
                <w:rFonts w:ascii="メイリオ" w:eastAsia="メイリオ" w:hAnsi="メイリオ" w:cs="ＭＳ Ｐゴシック" w:hint="eastAsia"/>
                <w:kern w:val="0"/>
                <w:sz w:val="20"/>
                <w:szCs w:val="20"/>
              </w:rPr>
              <w:t>設定</w:t>
            </w:r>
            <w:r w:rsidRPr="004D4F43">
              <w:rPr>
                <w:rFonts w:ascii="メイリオ" w:eastAsia="メイリオ" w:hAnsi="メイリオ" w:cs="ＭＳ Ｐゴシック" w:hint="eastAsia"/>
                <w:kern w:val="0"/>
                <w:sz w:val="20"/>
                <w:szCs w:val="20"/>
              </w:rPr>
              <w:t>して</w:t>
            </w:r>
            <w:r w:rsidR="00CA10CD" w:rsidRPr="004D4F43">
              <w:rPr>
                <w:rFonts w:ascii="メイリオ" w:eastAsia="メイリオ" w:hAnsi="メイリオ" w:cs="ＭＳ Ｐゴシック" w:hint="eastAsia"/>
                <w:kern w:val="0"/>
                <w:sz w:val="20"/>
                <w:szCs w:val="20"/>
              </w:rPr>
              <w:t>河川におけるごみ散乱状況から</w:t>
            </w:r>
            <w:r w:rsidRPr="004D4F43">
              <w:rPr>
                <w:rFonts w:ascii="メイリオ" w:eastAsia="メイリオ" w:hAnsi="メイリオ" w:cs="ＭＳ Ｐゴシック" w:hint="eastAsia"/>
                <w:kern w:val="0"/>
                <w:sz w:val="20"/>
                <w:szCs w:val="20"/>
              </w:rPr>
              <w:t>フローを</w:t>
            </w:r>
            <w:r w:rsidR="00CA10CD" w:rsidRPr="004D4F43">
              <w:rPr>
                <w:rFonts w:ascii="メイリオ" w:eastAsia="メイリオ" w:hAnsi="メイリオ" w:cs="ＭＳ Ｐゴシック" w:hint="eastAsia"/>
                <w:kern w:val="0"/>
                <w:sz w:val="20"/>
                <w:szCs w:val="20"/>
              </w:rPr>
              <w:t>推定・評価</w:t>
            </w:r>
            <w:r w:rsidRPr="004D4F43">
              <w:rPr>
                <w:rFonts w:ascii="メイリオ" w:eastAsia="メイリオ" w:hAnsi="メイリオ" w:cs="ＭＳ Ｐゴシック" w:hint="eastAsia"/>
                <w:kern w:val="0"/>
                <w:sz w:val="20"/>
                <w:szCs w:val="20"/>
              </w:rPr>
              <w:t>することと、海岸</w:t>
            </w:r>
            <w:r w:rsidRPr="00D012DD">
              <w:rPr>
                <w:rFonts w:ascii="メイリオ" w:eastAsia="メイリオ" w:hAnsi="メイリオ" w:cs="ＭＳ Ｐゴシック" w:hint="eastAsia"/>
                <w:kern w:val="0"/>
                <w:sz w:val="20"/>
                <w:szCs w:val="20"/>
              </w:rPr>
              <w:t>漂着ごみの調査でストックを押さえることの両面から検討するとともに、府民の意識や目指す姿など、定性的な目標も検討する。</w:t>
            </w:r>
          </w:p>
        </w:tc>
      </w:tr>
    </w:tbl>
    <w:p w14:paraId="45A51610" w14:textId="158D5FC1" w:rsidR="003D5EA4" w:rsidRDefault="003D5EA4"/>
    <w:p w14:paraId="6B9F2E47" w14:textId="333CBC92" w:rsidR="003D5EA4" w:rsidRPr="003D5EA4" w:rsidRDefault="003D5EA4">
      <w:pPr>
        <w:rPr>
          <w:rFonts w:ascii="Meiryo UI" w:eastAsia="Meiryo UI" w:hAnsi="Meiryo UI"/>
          <w:b/>
          <w:bCs/>
        </w:rPr>
      </w:pPr>
      <w:r w:rsidRPr="003D5EA4">
        <w:rPr>
          <w:rFonts w:ascii="Meiryo UI" w:eastAsia="Meiryo UI" w:hAnsi="Meiryo UI" w:hint="eastAsia"/>
          <w:b/>
          <w:bCs/>
        </w:rPr>
        <w:t>＜関係主体との連携＞</w:t>
      </w:r>
    </w:p>
    <w:tbl>
      <w:tblPr>
        <w:tblStyle w:val="a9"/>
        <w:tblW w:w="9918" w:type="dxa"/>
        <w:tblLook w:val="04A0" w:firstRow="1" w:lastRow="0" w:firstColumn="1" w:lastColumn="0" w:noHBand="0" w:noVBand="1"/>
      </w:tblPr>
      <w:tblGrid>
        <w:gridCol w:w="5098"/>
        <w:gridCol w:w="4820"/>
      </w:tblGrid>
      <w:tr w:rsidR="00CA10CD" w:rsidRPr="00D012DD" w14:paraId="710E2C89" w14:textId="77777777" w:rsidTr="00CA10CD">
        <w:trPr>
          <w:trHeight w:val="70"/>
        </w:trPr>
        <w:tc>
          <w:tcPr>
            <w:tcW w:w="5098" w:type="dxa"/>
          </w:tcPr>
          <w:p w14:paraId="4DBFB079" w14:textId="37CF1F7D" w:rsidR="00CA10CD" w:rsidRPr="00D012DD" w:rsidRDefault="00CA10CD"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主な指摘事項</w:t>
            </w:r>
          </w:p>
        </w:tc>
        <w:tc>
          <w:tcPr>
            <w:tcW w:w="4820" w:type="dxa"/>
          </w:tcPr>
          <w:p w14:paraId="4DE1F8AF" w14:textId="1FF7D435" w:rsidR="00CA10CD" w:rsidRPr="00D012DD" w:rsidRDefault="00CA10CD" w:rsidP="00CA10CD">
            <w:pPr>
              <w:widowControl/>
              <w:spacing w:line="3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対応案</w:t>
            </w:r>
          </w:p>
        </w:tc>
      </w:tr>
      <w:tr w:rsidR="00D012DD" w:rsidRPr="00D012DD" w14:paraId="4CB90849" w14:textId="77777777" w:rsidTr="00D012DD">
        <w:trPr>
          <w:trHeight w:val="1590"/>
        </w:trPr>
        <w:tc>
          <w:tcPr>
            <w:tcW w:w="5098" w:type="dxa"/>
            <w:hideMark/>
          </w:tcPr>
          <w:p w14:paraId="4CB90847" w14:textId="77777777" w:rsidR="00D012DD" w:rsidRPr="00D012DD" w:rsidRDefault="00D012DD" w:rsidP="008D49A9">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市町村のレベルでも、沿岸である事とは関係なく、自分たちがごみを海に流す原因物質をきちんとコントロールしようという意識がある。条例で全体を大きくカバーした上で、市町村がより効率的に一緒に連携できるような仕組みを作っていくことが非常に大事</w:t>
            </w:r>
          </w:p>
        </w:tc>
        <w:tc>
          <w:tcPr>
            <w:tcW w:w="4820" w:type="dxa"/>
            <w:hideMark/>
          </w:tcPr>
          <w:p w14:paraId="4CB90848" w14:textId="0BD4BEC6" w:rsidR="00D012DD" w:rsidRPr="00D012DD" w:rsidRDefault="00D012DD" w:rsidP="00A702D4">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市町村に現在の認識や取組状況についてアンケートを実施して</w:t>
            </w:r>
            <w:r>
              <w:rPr>
                <w:rFonts w:ascii="メイリオ" w:eastAsia="メイリオ" w:hAnsi="メイリオ" w:cs="ＭＳ Ｐゴシック" w:hint="eastAsia"/>
                <w:kern w:val="0"/>
                <w:sz w:val="20"/>
                <w:szCs w:val="20"/>
              </w:rPr>
              <w:t>お</w:t>
            </w:r>
            <w:r w:rsidRPr="00D012DD">
              <w:rPr>
                <w:rFonts w:ascii="メイリオ" w:eastAsia="メイリオ" w:hAnsi="メイリオ" w:cs="ＭＳ Ｐゴシック" w:hint="eastAsia"/>
                <w:kern w:val="0"/>
                <w:sz w:val="20"/>
                <w:szCs w:val="20"/>
              </w:rPr>
              <w:t>示</w:t>
            </w:r>
            <w:r>
              <w:rPr>
                <w:rFonts w:ascii="メイリオ" w:eastAsia="メイリオ" w:hAnsi="メイリオ" w:cs="ＭＳ Ｐゴシック" w:hint="eastAsia"/>
                <w:kern w:val="0"/>
                <w:sz w:val="20"/>
                <w:szCs w:val="20"/>
              </w:rPr>
              <w:t>しする</w:t>
            </w:r>
            <w:r w:rsidRPr="00D012DD">
              <w:rPr>
                <w:rFonts w:ascii="メイリオ" w:eastAsia="メイリオ" w:hAnsi="メイリオ" w:cs="ＭＳ Ｐゴシック" w:hint="eastAsia"/>
                <w:kern w:val="0"/>
                <w:sz w:val="20"/>
                <w:szCs w:val="20"/>
              </w:rPr>
              <w:t>。特に内陸部と一緒になった取組が重要と認識しており、既存の市町村との連携体制も有効活用して仕組みを構築する。</w:t>
            </w:r>
          </w:p>
        </w:tc>
      </w:tr>
      <w:tr w:rsidR="00D012DD" w:rsidRPr="00D012DD" w14:paraId="4CB90855" w14:textId="77777777" w:rsidTr="00D012DD">
        <w:trPr>
          <w:trHeight w:val="945"/>
        </w:trPr>
        <w:tc>
          <w:tcPr>
            <w:tcW w:w="5098" w:type="dxa"/>
            <w:hideMark/>
          </w:tcPr>
          <w:p w14:paraId="4CB90853" w14:textId="6FEBD707" w:rsidR="00D012DD" w:rsidRPr="00D012DD" w:rsidRDefault="00D012DD" w:rsidP="008D49A9">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漁業者からのごみの</w:t>
            </w:r>
            <w:r w:rsidR="003D5EA4">
              <w:rPr>
                <w:rFonts w:ascii="メイリオ" w:eastAsia="メイリオ" w:hAnsi="メイリオ" w:cs="ＭＳ Ｐゴシック" w:hint="eastAsia"/>
                <w:kern w:val="0"/>
                <w:sz w:val="20"/>
                <w:szCs w:val="20"/>
              </w:rPr>
              <w:t>回収支援</w:t>
            </w:r>
            <w:r w:rsidRPr="00D012DD">
              <w:rPr>
                <w:rFonts w:ascii="メイリオ" w:eastAsia="メイリオ" w:hAnsi="メイリオ" w:cs="ＭＳ Ｐゴシック" w:hint="eastAsia"/>
                <w:kern w:val="0"/>
                <w:sz w:val="20"/>
                <w:szCs w:val="20"/>
              </w:rPr>
              <w:t>は多分ほとんどの人が知らない。国との緊密な連携は、対策として絶対に記載されると思うが、特にその重点的なポイントとして挙げてほしい</w:t>
            </w:r>
          </w:p>
        </w:tc>
        <w:tc>
          <w:tcPr>
            <w:tcW w:w="4820" w:type="dxa"/>
            <w:hideMark/>
          </w:tcPr>
          <w:p w14:paraId="4CB90854" w14:textId="77777777" w:rsidR="00D012DD" w:rsidRPr="00D012DD" w:rsidRDefault="00D012DD" w:rsidP="008D49A9">
            <w:pPr>
              <w:widowControl/>
              <w:spacing w:line="300" w:lineRule="exact"/>
              <w:jc w:val="left"/>
              <w:rPr>
                <w:rFonts w:ascii="メイリオ" w:eastAsia="メイリオ" w:hAnsi="メイリオ" w:cs="ＭＳ Ｐゴシック"/>
                <w:kern w:val="0"/>
                <w:sz w:val="20"/>
                <w:szCs w:val="20"/>
              </w:rPr>
            </w:pPr>
            <w:r w:rsidRPr="00D012DD">
              <w:rPr>
                <w:rFonts w:ascii="メイリオ" w:eastAsia="メイリオ" w:hAnsi="メイリオ" w:cs="ＭＳ Ｐゴシック" w:hint="eastAsia"/>
                <w:kern w:val="0"/>
                <w:sz w:val="20"/>
                <w:szCs w:val="20"/>
              </w:rPr>
              <w:t>現在の取組についての効果的なPR、国との連携は重要と認識しており、計画にもしっかり盛り込む。</w:t>
            </w:r>
          </w:p>
        </w:tc>
      </w:tr>
    </w:tbl>
    <w:p w14:paraId="4CB90856" w14:textId="77777777" w:rsidR="006972A5" w:rsidRPr="008D49A9" w:rsidRDefault="00F3427E" w:rsidP="008D49A9">
      <w:pPr>
        <w:spacing w:line="300" w:lineRule="exact"/>
        <w:rPr>
          <w:rFonts w:ascii="メイリオ" w:eastAsia="メイリオ" w:hAnsi="メイリオ"/>
        </w:rPr>
      </w:pPr>
    </w:p>
    <w:sectPr w:rsidR="006972A5" w:rsidRPr="008D49A9" w:rsidSect="008D49A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0859" w14:textId="77777777" w:rsidR="00A702D4" w:rsidRDefault="00A702D4" w:rsidP="00A702D4">
      <w:r>
        <w:separator/>
      </w:r>
    </w:p>
  </w:endnote>
  <w:endnote w:type="continuationSeparator" w:id="0">
    <w:p w14:paraId="4CB9085A" w14:textId="77777777" w:rsidR="00A702D4" w:rsidRDefault="00A702D4" w:rsidP="00A7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4F52" w14:textId="77777777" w:rsidR="00F3427E" w:rsidRDefault="00F342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10B0" w14:textId="77777777" w:rsidR="00F3427E" w:rsidRDefault="00F342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6074" w14:textId="77777777" w:rsidR="00F3427E" w:rsidRDefault="00F342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0857" w14:textId="77777777" w:rsidR="00A702D4" w:rsidRDefault="00A702D4" w:rsidP="00A702D4">
      <w:r>
        <w:separator/>
      </w:r>
    </w:p>
  </w:footnote>
  <w:footnote w:type="continuationSeparator" w:id="0">
    <w:p w14:paraId="4CB90858" w14:textId="77777777" w:rsidR="00A702D4" w:rsidRDefault="00A702D4" w:rsidP="00A7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46EB" w14:textId="77777777" w:rsidR="00F3427E" w:rsidRDefault="00F342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51BCF" w14:textId="77777777" w:rsidR="00F3427E" w:rsidRDefault="00F342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18156" w14:textId="77777777" w:rsidR="00F3427E" w:rsidRDefault="00F342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A9"/>
    <w:rsid w:val="003D5EA4"/>
    <w:rsid w:val="00431420"/>
    <w:rsid w:val="0049415E"/>
    <w:rsid w:val="004D4F43"/>
    <w:rsid w:val="005D19BF"/>
    <w:rsid w:val="00617F04"/>
    <w:rsid w:val="006D61B7"/>
    <w:rsid w:val="008704F5"/>
    <w:rsid w:val="008D49A9"/>
    <w:rsid w:val="00A702D4"/>
    <w:rsid w:val="00CA10CD"/>
    <w:rsid w:val="00D012DD"/>
    <w:rsid w:val="00D537D7"/>
    <w:rsid w:val="00F3427E"/>
    <w:rsid w:val="00FC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B90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2D4"/>
    <w:pPr>
      <w:tabs>
        <w:tab w:val="center" w:pos="4252"/>
        <w:tab w:val="right" w:pos="8504"/>
      </w:tabs>
      <w:snapToGrid w:val="0"/>
    </w:pPr>
  </w:style>
  <w:style w:type="character" w:customStyle="1" w:styleId="a4">
    <w:name w:val="ヘッダー (文字)"/>
    <w:basedOn w:val="a0"/>
    <w:link w:val="a3"/>
    <w:uiPriority w:val="99"/>
    <w:rsid w:val="00A702D4"/>
  </w:style>
  <w:style w:type="paragraph" w:styleId="a5">
    <w:name w:val="footer"/>
    <w:basedOn w:val="a"/>
    <w:link w:val="a6"/>
    <w:uiPriority w:val="99"/>
    <w:unhideWhenUsed/>
    <w:rsid w:val="00A702D4"/>
    <w:pPr>
      <w:tabs>
        <w:tab w:val="center" w:pos="4252"/>
        <w:tab w:val="right" w:pos="8504"/>
      </w:tabs>
      <w:snapToGrid w:val="0"/>
    </w:pPr>
  </w:style>
  <w:style w:type="character" w:customStyle="1" w:styleId="a6">
    <w:name w:val="フッター (文字)"/>
    <w:basedOn w:val="a0"/>
    <w:link w:val="a5"/>
    <w:uiPriority w:val="99"/>
    <w:rsid w:val="00A702D4"/>
  </w:style>
  <w:style w:type="paragraph" w:styleId="a7">
    <w:name w:val="Balloon Text"/>
    <w:basedOn w:val="a"/>
    <w:link w:val="a8"/>
    <w:uiPriority w:val="99"/>
    <w:semiHidden/>
    <w:unhideWhenUsed/>
    <w:rsid w:val="00A702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02D4"/>
    <w:rPr>
      <w:rFonts w:asciiTheme="majorHAnsi" w:eastAsiaTheme="majorEastAsia" w:hAnsiTheme="majorHAnsi" w:cstheme="majorBidi"/>
      <w:sz w:val="18"/>
      <w:szCs w:val="18"/>
    </w:rPr>
  </w:style>
  <w:style w:type="table" w:styleId="a9">
    <w:name w:val="Table Grid"/>
    <w:basedOn w:val="a1"/>
    <w:uiPriority w:val="39"/>
    <w:rsid w:val="00D0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6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2020-06-25T01:09:00Z</dcterms:created>
  <dcterms:modified xsi:type="dcterms:W3CDTF">2020-06-25T01:09:00Z</dcterms:modified>
</cp:coreProperties>
</file>