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92FB30" w14:textId="20DEB6AD" w:rsidR="008704F5" w:rsidRPr="008704F5" w:rsidRDefault="008704F5" w:rsidP="008704F5">
      <w:pPr>
        <w:jc w:val="center"/>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59264" behindDoc="0" locked="0" layoutInCell="1" allowOverlap="1" wp14:anchorId="1B12CF1C" wp14:editId="7D6CB610">
                <wp:simplePos x="0" y="0"/>
                <wp:positionH relativeFrom="column">
                  <wp:posOffset>5362575</wp:posOffset>
                </wp:positionH>
                <wp:positionV relativeFrom="paragraph">
                  <wp:posOffset>-228600</wp:posOffset>
                </wp:positionV>
                <wp:extent cx="9906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wps:spPr>
                      <wps:txbx>
                        <w:txbxContent>
                          <w:p w14:paraId="4DD1881D" w14:textId="7EF72D48" w:rsidR="008704F5" w:rsidRPr="008704F5" w:rsidRDefault="008704F5" w:rsidP="008704F5">
                            <w:pPr>
                              <w:jc w:val="center"/>
                              <w:rPr>
                                <w:rFonts w:ascii="Meiryo UI" w:eastAsia="Meiryo UI" w:hAnsi="Meiryo UI"/>
                              </w:rPr>
                            </w:pPr>
                            <w:r w:rsidRPr="008704F5">
                              <w:rPr>
                                <w:rFonts w:ascii="Meiryo UI" w:eastAsia="Meiryo UI" w:hAnsi="Meiryo UI" w:hint="eastAsia"/>
                              </w:rPr>
                              <w:t>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12CF1C" id="_x0000_t202" coordsize="21600,21600" o:spt="202" path="m,l,21600r21600,l21600,xe">
                <v:stroke joinstyle="miter"/>
                <v:path gradientshapeok="t" o:connecttype="rect"/>
              </v:shapetype>
              <v:shape id="テキスト ボックス 1" o:spid="_x0000_s1026" type="#_x0000_t202" style="position:absolute;left:0;text-align:left;margin-left:422.25pt;margin-top:-18pt;width:7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AkagIAALEEAAAOAAAAZHJzL2Uyb0RvYy54bWysVMFu2zAMvQ/YPwi6L3bSpFuDOEWWosOA&#10;oi3QDj0rspQYk0VNUmJ3xwYo9hH7hWHnfY9/ZJTspGm307CLTIrkE/lIenJal4pshHUF6Iz2eykl&#10;QnPIC73M6Kfb8zfvKHGe6Zwp0CKj98LR0+nrV5PKjMUAVqByYQmCaDeuTEZX3ptxkji+EiVzPTBC&#10;o1GCLZlH1S6T3LIK0UuVDNL0OKnA5sYCF87h7VlrpNOIL6Xg/kpKJzxRGcXcfDxtPBfhTKYTNl5a&#10;ZlYF79Jg/5BFyQqNj+6hzphnZG2LP6DKgltwIH2PQ5mAlAUXsQaspp++qOZmxYyItSA5zuxpcv8P&#10;ll9uri0pcuwdJZqV2KJm+9g8/GgefjXbb6TZfm+22+bhJ+qkH+iqjBtj1I3BOF+/hzqEdvcOLwML&#10;tbRl+GJ9BO1I/P2ebFF7wvHy5CQ9TtHC0XQ0GgwHo4CSPAUb6/wHASUJQkYt9jJSzDYXzreuO5fw&#10;lgNV5OeFUlEJ8yPmypINw84rH1NE8GdeSpMqo8dHozQCP7MF6H38QjH+uUvvwAvxlMacAyVt6UHy&#10;9aLu+FhAfo80WWjnzhl+XiDuBXP+mlkcNKwfl8df4SEVYDLQSZSswH79233wx/6jlZIKBzej7sua&#10;WUGJ+qhxMk76w2GY9KgMR28HqNhDy+LQotflHJAh7D5mF8Xg79VOlBbKO9yxWXgVTUxzfDujfifO&#10;fbtOuKNczGbRCWfbMH+hbwwP0KEjgc/b+o5Z0/XT4yBcwm7E2fhFW1vfEKlhtvYgi9jzQHDLasc7&#10;7kWcmm6Hw+Id6tHr6U8z/Q0AAP//AwBQSwMEFAAGAAgAAAAhAACYp0jeAAAACwEAAA8AAABkcnMv&#10;ZG93bnJldi54bWxMj8FOwzAQRO9I/IO1SNxaG2irNMSpABUunCiIsxu7tkW8jmw3DX/P9kRvuzuj&#10;2TfNZgo9G03KPqKEu7kAZrCL2qOV8PX5OquA5aJQqz6ikfBrMmza66tG1Tqe8MOMu2IZhWCulQRX&#10;ylBznjtngsrzOBgk7RBTUIXWZLlO6kThoef3Qqx4UB7pg1ODeXGm+9kdg4Tts13brlLJbSvt/Th9&#10;H97tm5S3N9PTI7BipvJvhjM+oUNLTPt4RJ1ZL6FaLJZklTB7WFGps0MIQac9Tesl8Lbhlx3aPwAA&#10;AP//AwBQSwECLQAUAAYACAAAACEAtoM4kv4AAADhAQAAEwAAAAAAAAAAAAAAAAAAAAAAW0NvbnRl&#10;bnRfVHlwZXNdLnhtbFBLAQItABQABgAIAAAAIQA4/SH/1gAAAJQBAAALAAAAAAAAAAAAAAAAAC8B&#10;AABfcmVscy8ucmVsc1BLAQItABQABgAIAAAAIQCY6iAkagIAALEEAAAOAAAAAAAAAAAAAAAAAC4C&#10;AABkcnMvZTJvRG9jLnhtbFBLAQItABQABgAIAAAAIQAAmKdI3gAAAAsBAAAPAAAAAAAAAAAAAAAA&#10;AMQEAABkcnMvZG93bnJldi54bWxQSwUGAAAAAAQABADzAAAAzwUAAAAA&#10;" fillcolor="white [3201]" strokeweight=".5pt">
                <v:textbox>
                  <w:txbxContent>
                    <w:p w14:paraId="4DD1881D" w14:textId="7EF72D48" w:rsidR="008704F5" w:rsidRPr="008704F5" w:rsidRDefault="008704F5" w:rsidP="008704F5">
                      <w:pPr>
                        <w:jc w:val="center"/>
                        <w:rPr>
                          <w:rFonts w:ascii="Meiryo UI" w:eastAsia="Meiryo UI" w:hAnsi="Meiryo UI"/>
                        </w:rPr>
                      </w:pPr>
                      <w:r w:rsidRPr="008704F5">
                        <w:rPr>
                          <w:rFonts w:ascii="Meiryo UI" w:eastAsia="Meiryo UI" w:hAnsi="Meiryo UI" w:hint="eastAsia"/>
                        </w:rPr>
                        <w:t>資料１－１</w:t>
                      </w:r>
                    </w:p>
                  </w:txbxContent>
                </v:textbox>
              </v:shape>
            </w:pict>
          </mc:Fallback>
        </mc:AlternateContent>
      </w:r>
      <w:r w:rsidRPr="008704F5">
        <w:rPr>
          <w:rFonts w:ascii="メイリオ" w:eastAsia="メイリオ" w:hAnsi="メイリオ" w:hint="eastAsia"/>
          <w:b/>
          <w:sz w:val="24"/>
          <w:szCs w:val="24"/>
        </w:rPr>
        <w:t>前回部会における主な指摘事項と対応について</w:t>
      </w:r>
    </w:p>
    <w:p w14:paraId="79EF6D0A" w14:textId="71370C9E" w:rsidR="003D5EA4" w:rsidRDefault="003D5EA4" w:rsidP="008D49A9">
      <w:pPr>
        <w:spacing w:line="300" w:lineRule="exact"/>
        <w:rPr>
          <w:rFonts w:ascii="メイリオ" w:eastAsia="メイリオ" w:hAnsi="メイリオ"/>
        </w:rPr>
      </w:pPr>
    </w:p>
    <w:p w14:paraId="67EC107E" w14:textId="2AB81D48" w:rsidR="003D5EA4" w:rsidRPr="003D5EA4" w:rsidRDefault="002E19D4" w:rsidP="008D49A9">
      <w:pPr>
        <w:spacing w:line="300" w:lineRule="exact"/>
        <w:rPr>
          <w:rFonts w:ascii="メイリオ" w:eastAsia="メイリオ" w:hAnsi="メイリオ"/>
          <w:b/>
          <w:bCs/>
        </w:rPr>
      </w:pPr>
      <w:r>
        <w:rPr>
          <w:rFonts w:ascii="メイリオ" w:eastAsia="メイリオ" w:hAnsi="メイリオ" w:hint="eastAsia"/>
          <w:b/>
          <w:bCs/>
        </w:rPr>
        <w:t>＜実態把握＞</w:t>
      </w:r>
    </w:p>
    <w:tbl>
      <w:tblPr>
        <w:tblStyle w:val="a9"/>
        <w:tblpPr w:leftFromText="142" w:rightFromText="142" w:vertAnchor="text" w:horzAnchor="margin" w:tblpY="31"/>
        <w:tblW w:w="9918" w:type="dxa"/>
        <w:tblLook w:val="04A0" w:firstRow="1" w:lastRow="0" w:firstColumn="1" w:lastColumn="0" w:noHBand="0" w:noVBand="1"/>
      </w:tblPr>
      <w:tblGrid>
        <w:gridCol w:w="5098"/>
        <w:gridCol w:w="4820"/>
      </w:tblGrid>
      <w:tr w:rsidR="003D5EA4" w:rsidRPr="00D012DD" w14:paraId="0302123D" w14:textId="77777777" w:rsidTr="003D5EA4">
        <w:trPr>
          <w:trHeight w:val="388"/>
        </w:trPr>
        <w:tc>
          <w:tcPr>
            <w:tcW w:w="5098" w:type="dxa"/>
          </w:tcPr>
          <w:p w14:paraId="4ABDC0CF" w14:textId="77777777" w:rsidR="003D5EA4" w:rsidRPr="00D012DD" w:rsidRDefault="003D5EA4" w:rsidP="003D5EA4">
            <w:pPr>
              <w:widowControl/>
              <w:spacing w:line="300" w:lineRule="exact"/>
              <w:jc w:val="left"/>
              <w:rPr>
                <w:rFonts w:ascii="メイリオ" w:eastAsia="メイリオ" w:hAnsi="メイリオ" w:cs="ＭＳ Ｐゴシック"/>
                <w:kern w:val="0"/>
                <w:sz w:val="20"/>
                <w:szCs w:val="20"/>
              </w:rPr>
            </w:pPr>
            <w:bookmarkStart w:id="1" w:name="_Hlk43353976"/>
            <w:r w:rsidRPr="00D012DD">
              <w:rPr>
                <w:rFonts w:ascii="メイリオ" w:eastAsia="メイリオ" w:hAnsi="メイリオ" w:cs="ＭＳ Ｐゴシック" w:hint="eastAsia"/>
                <w:kern w:val="0"/>
                <w:sz w:val="20"/>
                <w:szCs w:val="20"/>
              </w:rPr>
              <w:t>主な指摘事項</w:t>
            </w:r>
          </w:p>
        </w:tc>
        <w:tc>
          <w:tcPr>
            <w:tcW w:w="4820" w:type="dxa"/>
          </w:tcPr>
          <w:p w14:paraId="6C9AA03C" w14:textId="77777777" w:rsidR="003D5EA4" w:rsidRPr="00D012DD" w:rsidRDefault="003D5EA4" w:rsidP="003D5EA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対応案</w:t>
            </w:r>
          </w:p>
        </w:tc>
      </w:tr>
      <w:bookmarkEnd w:id="1"/>
      <w:tr w:rsidR="00CA10CD" w:rsidRPr="00D012DD" w14:paraId="3BAF4155" w14:textId="77777777" w:rsidTr="003D5EA4">
        <w:trPr>
          <w:trHeight w:val="840"/>
        </w:trPr>
        <w:tc>
          <w:tcPr>
            <w:tcW w:w="5098" w:type="dxa"/>
          </w:tcPr>
          <w:p w14:paraId="1E71888F" w14:textId="0D16783B" w:rsidR="00CA10CD" w:rsidRPr="00D012DD" w:rsidRDefault="001D2D7C" w:rsidP="001D2D7C">
            <w:pPr>
              <w:widowControl/>
              <w:spacing w:line="300" w:lineRule="exact"/>
              <w:jc w:val="left"/>
              <w:rPr>
                <w:rFonts w:ascii="メイリオ" w:eastAsia="メイリオ" w:hAnsi="メイリオ" w:cs="ＭＳ Ｐゴシック"/>
                <w:kern w:val="0"/>
                <w:sz w:val="20"/>
                <w:szCs w:val="20"/>
              </w:rPr>
            </w:pPr>
            <w:r w:rsidRPr="001D2D7C">
              <w:rPr>
                <w:rFonts w:ascii="メイリオ" w:eastAsia="メイリオ" w:hAnsi="メイリオ" w:cs="ＭＳ Ｐゴシック" w:hint="eastAsia"/>
                <w:kern w:val="0"/>
                <w:sz w:val="20"/>
                <w:szCs w:val="20"/>
              </w:rPr>
              <w:t>海岸漂着物処理推進法で、あらゆる主体の連携とモニタリングの実施がうたわれて</w:t>
            </w:r>
            <w:r>
              <w:rPr>
                <w:rFonts w:ascii="メイリオ" w:eastAsia="メイリオ" w:hAnsi="メイリオ" w:cs="ＭＳ Ｐゴシック" w:hint="eastAsia"/>
                <w:kern w:val="0"/>
                <w:sz w:val="20"/>
                <w:szCs w:val="20"/>
              </w:rPr>
              <w:t>いる。様々な主体が、</w:t>
            </w:r>
            <w:r w:rsidRPr="001D2D7C">
              <w:rPr>
                <w:rFonts w:ascii="メイリオ" w:eastAsia="メイリオ" w:hAnsi="メイリオ" w:cs="ＭＳ Ｐゴシック" w:hint="eastAsia"/>
                <w:kern w:val="0"/>
                <w:sz w:val="20"/>
                <w:szCs w:val="20"/>
              </w:rPr>
              <w:t>共通の指標でもって回収されたごみを分析し、データを共有していく</w:t>
            </w:r>
            <w:r>
              <w:rPr>
                <w:rFonts w:ascii="メイリオ" w:eastAsia="メイリオ" w:hAnsi="メイリオ" w:cs="ＭＳ Ｐゴシック" w:hint="eastAsia"/>
                <w:kern w:val="0"/>
                <w:sz w:val="20"/>
                <w:szCs w:val="20"/>
              </w:rPr>
              <w:t>ことが重要</w:t>
            </w:r>
          </w:p>
        </w:tc>
        <w:tc>
          <w:tcPr>
            <w:tcW w:w="4820" w:type="dxa"/>
          </w:tcPr>
          <w:p w14:paraId="0490A24E" w14:textId="0E679EF8" w:rsidR="00CA10CD" w:rsidRPr="00D012DD" w:rsidRDefault="002E19D4"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実態把握にあたっては、データの比較可能性が重要であり、手法の共有化が欠かせないと考えています。</w:t>
            </w:r>
            <w:r w:rsidR="00DD3FEF">
              <w:rPr>
                <w:rFonts w:ascii="メイリオ" w:eastAsia="メイリオ" w:hAnsi="メイリオ" w:cs="ＭＳ Ｐゴシック" w:hint="eastAsia"/>
                <w:kern w:val="0"/>
                <w:sz w:val="20"/>
                <w:szCs w:val="20"/>
              </w:rPr>
              <w:t>また、採用する手法は、</w:t>
            </w:r>
            <w:r>
              <w:rPr>
                <w:rFonts w:ascii="メイリオ" w:eastAsia="メイリオ" w:hAnsi="メイリオ" w:cs="ＭＳ Ｐゴシック" w:hint="eastAsia"/>
                <w:kern w:val="0"/>
                <w:sz w:val="20"/>
                <w:szCs w:val="20"/>
              </w:rPr>
              <w:t>より公式なもの、広く利用されているもの</w:t>
            </w:r>
            <w:r w:rsidR="00DD3FEF">
              <w:rPr>
                <w:rFonts w:ascii="メイリオ" w:eastAsia="メイリオ" w:hAnsi="メイリオ" w:cs="ＭＳ Ｐゴシック" w:hint="eastAsia"/>
                <w:kern w:val="0"/>
                <w:sz w:val="20"/>
                <w:szCs w:val="20"/>
              </w:rPr>
              <w:t>とします。</w:t>
            </w:r>
            <w:r w:rsidR="00F96C89">
              <w:rPr>
                <w:rFonts w:ascii="メイリオ" w:eastAsia="メイリオ" w:hAnsi="メイリオ" w:cs="ＭＳ Ｐゴシック" w:hint="eastAsia"/>
                <w:kern w:val="0"/>
                <w:sz w:val="20"/>
                <w:szCs w:val="20"/>
              </w:rPr>
              <w:t>（p32）</w:t>
            </w:r>
          </w:p>
        </w:tc>
      </w:tr>
    </w:tbl>
    <w:p w14:paraId="55B755D2" w14:textId="75644675" w:rsidR="002E19D4" w:rsidRDefault="002E19D4"/>
    <w:p w14:paraId="529D134E" w14:textId="72B418E7" w:rsidR="002E19D4" w:rsidRPr="003D5EA4" w:rsidRDefault="002E19D4" w:rsidP="002E19D4">
      <w:pPr>
        <w:spacing w:line="300" w:lineRule="exact"/>
        <w:rPr>
          <w:rFonts w:ascii="メイリオ" w:eastAsia="メイリオ" w:hAnsi="メイリオ"/>
          <w:b/>
          <w:bCs/>
        </w:rPr>
      </w:pPr>
      <w:r>
        <w:rPr>
          <w:rFonts w:ascii="メイリオ" w:eastAsia="メイリオ" w:hAnsi="メイリオ" w:hint="eastAsia"/>
          <w:b/>
          <w:bCs/>
        </w:rPr>
        <w:t>＜施策展開＞</w:t>
      </w:r>
    </w:p>
    <w:tbl>
      <w:tblPr>
        <w:tblStyle w:val="a9"/>
        <w:tblpPr w:leftFromText="142" w:rightFromText="142" w:vertAnchor="text" w:horzAnchor="margin" w:tblpY="31"/>
        <w:tblW w:w="9918" w:type="dxa"/>
        <w:tblLook w:val="04A0" w:firstRow="1" w:lastRow="0" w:firstColumn="1" w:lastColumn="0" w:noHBand="0" w:noVBand="1"/>
      </w:tblPr>
      <w:tblGrid>
        <w:gridCol w:w="5098"/>
        <w:gridCol w:w="4820"/>
      </w:tblGrid>
      <w:tr w:rsidR="002E19D4" w:rsidRPr="00D012DD" w14:paraId="104956E5" w14:textId="77777777" w:rsidTr="00CC5932">
        <w:trPr>
          <w:trHeight w:val="388"/>
        </w:trPr>
        <w:tc>
          <w:tcPr>
            <w:tcW w:w="5098" w:type="dxa"/>
          </w:tcPr>
          <w:p w14:paraId="078ECF56" w14:textId="77777777" w:rsidR="002E19D4" w:rsidRPr="00D012DD" w:rsidRDefault="002E19D4" w:rsidP="002E19D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主な指摘事項</w:t>
            </w:r>
          </w:p>
        </w:tc>
        <w:tc>
          <w:tcPr>
            <w:tcW w:w="4820" w:type="dxa"/>
          </w:tcPr>
          <w:p w14:paraId="0CB4D483" w14:textId="77777777" w:rsidR="002E19D4" w:rsidRPr="00D012DD" w:rsidRDefault="002E19D4" w:rsidP="002E19D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対応案</w:t>
            </w:r>
          </w:p>
        </w:tc>
      </w:tr>
      <w:tr w:rsidR="00CA10CD" w:rsidRPr="00D012DD" w14:paraId="11CF9A8D" w14:textId="77777777" w:rsidTr="003D5EA4">
        <w:trPr>
          <w:trHeight w:val="840"/>
        </w:trPr>
        <w:tc>
          <w:tcPr>
            <w:tcW w:w="5098" w:type="dxa"/>
          </w:tcPr>
          <w:p w14:paraId="73027BAA" w14:textId="2BE2A6F7" w:rsidR="00CA10CD" w:rsidRPr="00D012DD" w:rsidRDefault="00D55922"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計画を実行に移していくにあたっては、使用量と流出リスクに分けて考えて対策の実施可否や優先順位をつけていく必要がある</w:t>
            </w:r>
          </w:p>
        </w:tc>
        <w:tc>
          <w:tcPr>
            <w:tcW w:w="4820" w:type="dxa"/>
          </w:tcPr>
          <w:p w14:paraId="414F146E" w14:textId="1772358C" w:rsidR="00CA10CD" w:rsidRPr="00D012DD" w:rsidRDefault="002E19D4"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実態把握を進め、とるべき対策を具体化するに当たっては、使用量や流出リスクといった観点も踏まえて施策効果の高いものを優先的に実施します。</w:t>
            </w:r>
            <w:r w:rsidR="00F96C89">
              <w:rPr>
                <w:rFonts w:ascii="メイリオ" w:eastAsia="メイリオ" w:hAnsi="メイリオ" w:cs="ＭＳ Ｐゴシック" w:hint="eastAsia"/>
                <w:kern w:val="0"/>
                <w:sz w:val="20"/>
                <w:szCs w:val="20"/>
              </w:rPr>
              <w:t>(p25)</w:t>
            </w:r>
          </w:p>
        </w:tc>
      </w:tr>
      <w:tr w:rsidR="00337C9A" w:rsidRPr="00D012DD" w14:paraId="56F39005" w14:textId="77777777" w:rsidTr="003D5EA4">
        <w:trPr>
          <w:trHeight w:val="840"/>
        </w:trPr>
        <w:tc>
          <w:tcPr>
            <w:tcW w:w="5098" w:type="dxa"/>
          </w:tcPr>
          <w:p w14:paraId="7803CEEA" w14:textId="5E4EEFBC" w:rsidR="00337C9A" w:rsidRDefault="00337C9A"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行政機関にしかできないこととして、必要に応じて規制条例を整備するということを実施すべき施策に加えてほしい。関係する産業界へのメッセージになる。</w:t>
            </w:r>
          </w:p>
        </w:tc>
        <w:tc>
          <w:tcPr>
            <w:tcW w:w="4820" w:type="dxa"/>
            <w:vMerge w:val="restart"/>
          </w:tcPr>
          <w:p w14:paraId="4525D1EF" w14:textId="528B8413" w:rsidR="00337C9A" w:rsidRPr="00464DE7" w:rsidRDefault="00DD3FEF" w:rsidP="00464DE7">
            <w:pPr>
              <w:widowControl/>
              <w:spacing w:line="300" w:lineRule="exact"/>
              <w:jc w:val="left"/>
              <w:rPr>
                <w:rFonts w:ascii="メイリオ" w:eastAsia="メイリオ" w:hAnsi="メイリオ" w:cs="ＭＳ Ｐゴシック"/>
                <w:kern w:val="0"/>
                <w:sz w:val="20"/>
                <w:szCs w:val="20"/>
              </w:rPr>
            </w:pPr>
            <w:r w:rsidRPr="00464DE7">
              <w:rPr>
                <w:rFonts w:ascii="メイリオ" w:eastAsia="メイリオ" w:hAnsi="メイリオ" w:cs="ＭＳ Ｐゴシック" w:hint="eastAsia"/>
                <w:color w:val="000000" w:themeColor="text1"/>
                <w:kern w:val="0"/>
                <w:sz w:val="20"/>
                <w:szCs w:val="20"/>
              </w:rPr>
              <w:t>府の</w:t>
            </w:r>
            <w:r w:rsidR="00464DE7" w:rsidRPr="00464DE7">
              <w:rPr>
                <w:rFonts w:ascii="メイリオ" w:eastAsia="メイリオ" w:hAnsi="メイリオ" w:cs="ＭＳ Ｐゴシック" w:hint="eastAsia"/>
                <w:color w:val="000000" w:themeColor="text1"/>
                <w:kern w:val="0"/>
                <w:sz w:val="20"/>
                <w:szCs w:val="20"/>
              </w:rPr>
              <w:t>役割として、</w:t>
            </w:r>
            <w:r w:rsidR="000E7DC5" w:rsidRPr="00464DE7">
              <w:rPr>
                <w:rFonts w:ascii="メイリオ" w:eastAsia="メイリオ" w:hAnsi="メイリオ" w:cs="ＭＳ Ｐゴシック" w:hint="eastAsia"/>
                <w:color w:val="000000" w:themeColor="text1"/>
                <w:kern w:val="0"/>
                <w:sz w:val="20"/>
                <w:szCs w:val="20"/>
              </w:rPr>
              <w:t>発生抑制のために必要な施策を実施することを位置づけ</w:t>
            </w:r>
            <w:r w:rsidR="00464DE7" w:rsidRPr="00464DE7">
              <w:rPr>
                <w:rFonts w:ascii="メイリオ" w:eastAsia="メイリオ" w:hAnsi="メイリオ" w:cs="ＭＳ Ｐゴシック" w:hint="eastAsia"/>
                <w:color w:val="000000" w:themeColor="text1"/>
                <w:kern w:val="0"/>
                <w:sz w:val="20"/>
                <w:szCs w:val="20"/>
              </w:rPr>
              <w:t>、陸域における散乱・流出の実態把握を進め、</w:t>
            </w:r>
            <w:r w:rsidR="00464DE7" w:rsidRPr="00464DE7">
              <w:rPr>
                <w:rFonts w:ascii="メイリオ" w:eastAsia="メイリオ" w:hAnsi="メイリオ" w:hint="eastAsia"/>
                <w:color w:val="000000" w:themeColor="text1"/>
                <w:sz w:val="20"/>
                <w:szCs w:val="20"/>
              </w:rPr>
              <w:t>経路に応じた効果的な対策方法について関係者に情報提供を行うとともに、規制的な手法による施策について検討し、その結果を踏まえて、必要に応じて流出防止対策の義務付けなどを実施することとします。</w:t>
            </w:r>
            <w:r w:rsidR="00F96C89" w:rsidRPr="00464DE7">
              <w:rPr>
                <w:rFonts w:ascii="メイリオ" w:eastAsia="メイリオ" w:hAnsi="メイリオ" w:cs="ＭＳ Ｐゴシック" w:hint="eastAsia"/>
                <w:color w:val="000000" w:themeColor="text1"/>
                <w:kern w:val="0"/>
                <w:sz w:val="20"/>
                <w:szCs w:val="20"/>
              </w:rPr>
              <w:t>（p30～31）</w:t>
            </w:r>
          </w:p>
        </w:tc>
      </w:tr>
      <w:tr w:rsidR="00337C9A" w:rsidRPr="00D012DD" w14:paraId="4F0784E0" w14:textId="77777777" w:rsidTr="003D5EA4">
        <w:trPr>
          <w:trHeight w:val="840"/>
        </w:trPr>
        <w:tc>
          <w:tcPr>
            <w:tcW w:w="5098" w:type="dxa"/>
          </w:tcPr>
          <w:p w14:paraId="17527D70" w14:textId="2450C0FA" w:rsidR="00337C9A" w:rsidRDefault="00337C9A"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制度整備にあたっては、3Rのところが最も重要で、リデュースが最優先であることを強調し、そのために必要な施策を策定するといったことを記載してほしい。</w:t>
            </w:r>
          </w:p>
        </w:tc>
        <w:tc>
          <w:tcPr>
            <w:tcW w:w="4820" w:type="dxa"/>
            <w:vMerge/>
          </w:tcPr>
          <w:p w14:paraId="52A2EA68" w14:textId="77777777" w:rsidR="00337C9A" w:rsidRPr="00D012DD" w:rsidRDefault="00337C9A" w:rsidP="00CA10CD">
            <w:pPr>
              <w:widowControl/>
              <w:spacing w:line="300" w:lineRule="exact"/>
              <w:jc w:val="left"/>
              <w:rPr>
                <w:rFonts w:ascii="メイリオ" w:eastAsia="メイリオ" w:hAnsi="メイリオ" w:cs="ＭＳ Ｐゴシック"/>
                <w:kern w:val="0"/>
                <w:sz w:val="20"/>
                <w:szCs w:val="20"/>
              </w:rPr>
            </w:pPr>
          </w:p>
        </w:tc>
      </w:tr>
      <w:tr w:rsidR="00337C9A" w:rsidRPr="00D012DD" w14:paraId="27134CAD" w14:textId="77777777" w:rsidTr="003D5EA4">
        <w:trPr>
          <w:trHeight w:val="840"/>
        </w:trPr>
        <w:tc>
          <w:tcPr>
            <w:tcW w:w="5098" w:type="dxa"/>
          </w:tcPr>
          <w:p w14:paraId="00220D3E" w14:textId="438CFB52" w:rsidR="00337C9A" w:rsidRDefault="00337C9A"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府の役割として、海岸漂着物等の発生抑制を図るために必要な施策を策定し実施するという文言を加えるとよい</w:t>
            </w:r>
          </w:p>
        </w:tc>
        <w:tc>
          <w:tcPr>
            <w:tcW w:w="4820" w:type="dxa"/>
            <w:vMerge/>
          </w:tcPr>
          <w:p w14:paraId="3562B700" w14:textId="77777777" w:rsidR="00337C9A" w:rsidRPr="00D012DD" w:rsidRDefault="00337C9A" w:rsidP="00CA10CD">
            <w:pPr>
              <w:widowControl/>
              <w:spacing w:line="300" w:lineRule="exact"/>
              <w:jc w:val="left"/>
              <w:rPr>
                <w:rFonts w:ascii="メイリオ" w:eastAsia="メイリオ" w:hAnsi="メイリオ" w:cs="ＭＳ Ｐゴシック"/>
                <w:kern w:val="0"/>
                <w:sz w:val="20"/>
                <w:szCs w:val="20"/>
              </w:rPr>
            </w:pPr>
          </w:p>
        </w:tc>
      </w:tr>
      <w:tr w:rsidR="00D55922" w:rsidRPr="00D012DD" w14:paraId="22C86E19" w14:textId="77777777" w:rsidTr="003D5EA4">
        <w:trPr>
          <w:trHeight w:val="840"/>
        </w:trPr>
        <w:tc>
          <w:tcPr>
            <w:tcW w:w="5098" w:type="dxa"/>
          </w:tcPr>
          <w:p w14:paraId="025C20B6" w14:textId="267E32D1" w:rsidR="00D55922" w:rsidRDefault="005D0436"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海岸漂着物には流木なども含まれ、船の航行に支障を与えている。今、森林が非常に荒れており、森林整備といった視点も考慮してほしい。</w:t>
            </w:r>
          </w:p>
        </w:tc>
        <w:tc>
          <w:tcPr>
            <w:tcW w:w="4820" w:type="dxa"/>
          </w:tcPr>
          <w:p w14:paraId="235F86F0" w14:textId="13EC5E03" w:rsidR="00D55922" w:rsidRPr="00D012DD" w:rsidRDefault="000E7DC5" w:rsidP="00464DE7">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ご指摘の森林を含め、</w:t>
            </w:r>
            <w:r w:rsidR="00464DE7">
              <w:rPr>
                <w:rFonts w:ascii="メイリオ" w:eastAsia="メイリオ" w:hAnsi="メイリオ" w:cs="ＭＳ Ｐゴシック" w:hint="eastAsia"/>
                <w:kern w:val="0"/>
                <w:sz w:val="20"/>
                <w:szCs w:val="20"/>
              </w:rPr>
              <w:t>府民・事業者・行政が所有・管理する土地において、適切な流出防止が</w:t>
            </w:r>
            <w:r w:rsidR="00337C9A">
              <w:rPr>
                <w:rFonts w:ascii="メイリオ" w:eastAsia="メイリオ" w:hAnsi="メイリオ" w:cs="ＭＳ Ｐゴシック" w:hint="eastAsia"/>
                <w:kern w:val="0"/>
                <w:sz w:val="20"/>
                <w:szCs w:val="20"/>
              </w:rPr>
              <w:t>図られる</w:t>
            </w:r>
            <w:r>
              <w:rPr>
                <w:rFonts w:ascii="メイリオ" w:eastAsia="メイリオ" w:hAnsi="メイリオ" w:cs="ＭＳ Ｐゴシック" w:hint="eastAsia"/>
                <w:kern w:val="0"/>
                <w:sz w:val="20"/>
                <w:szCs w:val="20"/>
              </w:rPr>
              <w:t>よう考慮します</w:t>
            </w:r>
            <w:r w:rsidR="00337C9A">
              <w:rPr>
                <w:rFonts w:ascii="メイリオ" w:eastAsia="メイリオ" w:hAnsi="メイリオ" w:cs="ＭＳ Ｐゴシック" w:hint="eastAsia"/>
                <w:kern w:val="0"/>
                <w:sz w:val="20"/>
                <w:szCs w:val="20"/>
              </w:rPr>
              <w:t>。</w:t>
            </w:r>
            <w:r w:rsidR="00F96C89">
              <w:rPr>
                <w:rFonts w:ascii="メイリオ" w:eastAsia="メイリオ" w:hAnsi="メイリオ" w:cs="ＭＳ Ｐゴシック" w:hint="eastAsia"/>
                <w:kern w:val="0"/>
                <w:sz w:val="20"/>
                <w:szCs w:val="20"/>
              </w:rPr>
              <w:t>（p31）</w:t>
            </w:r>
          </w:p>
        </w:tc>
      </w:tr>
    </w:tbl>
    <w:p w14:paraId="50D4D31F" w14:textId="77777777" w:rsidR="002E19D4" w:rsidRDefault="002E19D4" w:rsidP="002E19D4">
      <w:pPr>
        <w:spacing w:line="300" w:lineRule="exact"/>
        <w:rPr>
          <w:rFonts w:ascii="メイリオ" w:eastAsia="メイリオ" w:hAnsi="メイリオ"/>
          <w:b/>
          <w:bCs/>
        </w:rPr>
      </w:pPr>
    </w:p>
    <w:p w14:paraId="022C506E" w14:textId="73B02F48" w:rsidR="002E19D4" w:rsidRPr="002E19D4" w:rsidRDefault="002E19D4" w:rsidP="002E19D4">
      <w:pPr>
        <w:spacing w:line="300" w:lineRule="exact"/>
        <w:rPr>
          <w:rFonts w:ascii="メイリオ" w:eastAsia="メイリオ" w:hAnsi="メイリオ"/>
          <w:b/>
          <w:bCs/>
        </w:rPr>
      </w:pPr>
      <w:r>
        <w:rPr>
          <w:rFonts w:ascii="メイリオ" w:eastAsia="メイリオ" w:hAnsi="メイリオ" w:hint="eastAsia"/>
          <w:b/>
          <w:bCs/>
        </w:rPr>
        <w:t>＜役割分担・連携＞</w:t>
      </w:r>
    </w:p>
    <w:tbl>
      <w:tblPr>
        <w:tblStyle w:val="a9"/>
        <w:tblpPr w:leftFromText="142" w:rightFromText="142" w:vertAnchor="text" w:horzAnchor="margin" w:tblpY="31"/>
        <w:tblW w:w="9918" w:type="dxa"/>
        <w:tblLook w:val="04A0" w:firstRow="1" w:lastRow="0" w:firstColumn="1" w:lastColumn="0" w:noHBand="0" w:noVBand="1"/>
      </w:tblPr>
      <w:tblGrid>
        <w:gridCol w:w="5098"/>
        <w:gridCol w:w="4820"/>
      </w:tblGrid>
      <w:tr w:rsidR="002E19D4" w:rsidRPr="00D012DD" w14:paraId="4A8F2B0D" w14:textId="77777777" w:rsidTr="00CC5932">
        <w:trPr>
          <w:trHeight w:val="388"/>
        </w:trPr>
        <w:tc>
          <w:tcPr>
            <w:tcW w:w="5098" w:type="dxa"/>
          </w:tcPr>
          <w:p w14:paraId="68975699" w14:textId="77777777" w:rsidR="002E19D4" w:rsidRPr="00D012DD" w:rsidRDefault="002E19D4" w:rsidP="002E19D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主な指摘事項</w:t>
            </w:r>
          </w:p>
        </w:tc>
        <w:tc>
          <w:tcPr>
            <w:tcW w:w="4820" w:type="dxa"/>
          </w:tcPr>
          <w:p w14:paraId="10E20965" w14:textId="77777777" w:rsidR="002E19D4" w:rsidRPr="00D012DD" w:rsidRDefault="002E19D4" w:rsidP="002E19D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対応案</w:t>
            </w:r>
          </w:p>
        </w:tc>
      </w:tr>
      <w:tr w:rsidR="002E19D4" w:rsidRPr="00D012DD" w14:paraId="191054D9" w14:textId="77777777" w:rsidTr="00CC5932">
        <w:trPr>
          <w:trHeight w:val="840"/>
        </w:trPr>
        <w:tc>
          <w:tcPr>
            <w:tcW w:w="5098" w:type="dxa"/>
          </w:tcPr>
          <w:p w14:paraId="0556B1CA" w14:textId="77777777" w:rsidR="002E19D4" w:rsidRPr="00D012DD" w:rsidRDefault="002E19D4" w:rsidP="002E19D4">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港湾管理者が、船の航行に支障とならないために実施する漂流ごみの回収のように、違う目的で実施していることが、副次的に海岸漂着物対策になっていることがある。そういう情報を共有することも大きな連携</w:t>
            </w:r>
          </w:p>
        </w:tc>
        <w:tc>
          <w:tcPr>
            <w:tcW w:w="4820" w:type="dxa"/>
            <w:vMerge w:val="restart"/>
          </w:tcPr>
          <w:p w14:paraId="69EF36A5" w14:textId="7384667D" w:rsidR="002E19D4" w:rsidRPr="00D012DD" w:rsidRDefault="002E19D4" w:rsidP="00CA05B1">
            <w:pPr>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情報共有や施策連携を通じて、それぞれの立場で取組みを行うことにより、海岸漂着物対策という大きな課題の解決につながり、双方にとってメリットがあるということの理解促進、さらなる連携強化になるよう取組みます。</w:t>
            </w:r>
            <w:r w:rsidR="000E7DC5">
              <w:rPr>
                <w:rFonts w:ascii="メイリオ" w:eastAsia="メイリオ" w:hAnsi="メイリオ" w:cs="ＭＳ Ｐゴシック" w:hint="eastAsia"/>
                <w:kern w:val="0"/>
                <w:sz w:val="20"/>
                <w:szCs w:val="20"/>
              </w:rPr>
              <w:t>（</w:t>
            </w:r>
            <w:r w:rsidR="00F96C89">
              <w:rPr>
                <w:rFonts w:ascii="メイリオ" w:eastAsia="メイリオ" w:hAnsi="メイリオ" w:cs="ＭＳ Ｐゴシック" w:hint="eastAsia"/>
                <w:kern w:val="0"/>
                <w:sz w:val="20"/>
                <w:szCs w:val="20"/>
              </w:rPr>
              <w:t>p25～26、</w:t>
            </w:r>
            <w:r w:rsidR="000E7DC5">
              <w:rPr>
                <w:rFonts w:ascii="メイリオ" w:eastAsia="メイリオ" w:hAnsi="メイリオ" w:cs="ＭＳ Ｐゴシック" w:hint="eastAsia"/>
                <w:kern w:val="0"/>
                <w:sz w:val="20"/>
                <w:szCs w:val="20"/>
              </w:rPr>
              <w:t>p2</w:t>
            </w:r>
            <w:r w:rsidR="00F96C89">
              <w:rPr>
                <w:rFonts w:ascii="メイリオ" w:eastAsia="メイリオ" w:hAnsi="メイリオ" w:cs="ＭＳ Ｐゴシック" w:hint="eastAsia"/>
                <w:kern w:val="0"/>
                <w:sz w:val="20"/>
                <w:szCs w:val="20"/>
              </w:rPr>
              <w:t>9</w:t>
            </w:r>
            <w:r w:rsidR="000E7DC5">
              <w:rPr>
                <w:rFonts w:ascii="メイリオ" w:eastAsia="メイリオ" w:hAnsi="メイリオ" w:cs="ＭＳ Ｐゴシック" w:hint="eastAsia"/>
                <w:kern w:val="0"/>
                <w:sz w:val="20"/>
                <w:szCs w:val="20"/>
              </w:rPr>
              <w:t>）</w:t>
            </w:r>
          </w:p>
        </w:tc>
      </w:tr>
      <w:tr w:rsidR="002E19D4" w:rsidRPr="00D012DD" w14:paraId="7C44D53C" w14:textId="77777777" w:rsidTr="003D5EA4">
        <w:trPr>
          <w:trHeight w:val="840"/>
        </w:trPr>
        <w:tc>
          <w:tcPr>
            <w:tcW w:w="5098" w:type="dxa"/>
          </w:tcPr>
          <w:p w14:paraId="5AF1D7D5" w14:textId="29F7AEF1" w:rsidR="002E19D4" w:rsidRDefault="002E19D4"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目標の進捗把握で、港湾管理者等の持つデータを把握する案となっているが、これを実施することが部局連携にもなり、違う目的で実施している施策がリンクするといったことが分かるように整理することで、連携促進や府民啓発にもつながる。</w:t>
            </w:r>
          </w:p>
        </w:tc>
        <w:tc>
          <w:tcPr>
            <w:tcW w:w="4820" w:type="dxa"/>
            <w:vMerge/>
          </w:tcPr>
          <w:p w14:paraId="0AF1E0AC" w14:textId="6B99CC75" w:rsidR="002E19D4" w:rsidRPr="00D012DD" w:rsidRDefault="002E19D4" w:rsidP="00CA10CD">
            <w:pPr>
              <w:widowControl/>
              <w:spacing w:line="300" w:lineRule="exact"/>
              <w:jc w:val="left"/>
              <w:rPr>
                <w:rFonts w:ascii="メイリオ" w:eastAsia="メイリオ" w:hAnsi="メイリオ" w:cs="ＭＳ Ｐゴシック"/>
                <w:kern w:val="0"/>
                <w:sz w:val="20"/>
                <w:szCs w:val="20"/>
              </w:rPr>
            </w:pPr>
          </w:p>
        </w:tc>
      </w:tr>
      <w:tr w:rsidR="00761D38" w:rsidRPr="00D012DD" w14:paraId="2E9BE522" w14:textId="77777777" w:rsidTr="003D5EA4">
        <w:trPr>
          <w:trHeight w:val="840"/>
        </w:trPr>
        <w:tc>
          <w:tcPr>
            <w:tcW w:w="5098" w:type="dxa"/>
          </w:tcPr>
          <w:p w14:paraId="1802B1DD" w14:textId="03EFBE66" w:rsidR="00761D38" w:rsidRDefault="00761D38"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関西広域連合の仕組みがあるので、大阪府から上流の</w:t>
            </w:r>
            <w:r w:rsidR="002E19D4">
              <w:rPr>
                <w:rFonts w:ascii="メイリオ" w:eastAsia="メイリオ" w:hAnsi="メイリオ" w:cs="ＭＳ Ｐゴシック" w:hint="eastAsia"/>
                <w:kern w:val="0"/>
                <w:sz w:val="20"/>
                <w:szCs w:val="20"/>
              </w:rPr>
              <w:t>京都府や奈良県といった</w:t>
            </w:r>
            <w:r>
              <w:rPr>
                <w:rFonts w:ascii="メイリオ" w:eastAsia="メイリオ" w:hAnsi="メイリオ" w:cs="ＭＳ Ｐゴシック" w:hint="eastAsia"/>
                <w:kern w:val="0"/>
                <w:sz w:val="20"/>
                <w:szCs w:val="20"/>
              </w:rPr>
              <w:t>自治体に声をかけて一緒にやっていくことは強く進めてほしい。</w:t>
            </w:r>
          </w:p>
        </w:tc>
        <w:tc>
          <w:tcPr>
            <w:tcW w:w="4820" w:type="dxa"/>
          </w:tcPr>
          <w:p w14:paraId="3A6E255B" w14:textId="4BCFBC84" w:rsidR="00761D38" w:rsidRPr="00D012DD" w:rsidRDefault="00337C9A" w:rsidP="000E7DC5">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関西広域連合や法に基づく協力の要請等により、関西全体の問題として連携して</w:t>
            </w:r>
            <w:r w:rsidR="000E7DC5">
              <w:rPr>
                <w:rFonts w:ascii="メイリオ" w:eastAsia="メイリオ" w:hAnsi="メイリオ" w:cs="ＭＳ Ｐゴシック" w:hint="eastAsia"/>
                <w:kern w:val="0"/>
                <w:sz w:val="20"/>
                <w:szCs w:val="20"/>
              </w:rPr>
              <w:t>、目標の達成を目指します</w:t>
            </w:r>
            <w:r>
              <w:rPr>
                <w:rFonts w:ascii="メイリオ" w:eastAsia="メイリオ" w:hAnsi="メイリオ" w:cs="ＭＳ Ｐゴシック" w:hint="eastAsia"/>
                <w:kern w:val="0"/>
                <w:sz w:val="20"/>
                <w:szCs w:val="20"/>
              </w:rPr>
              <w:t>。</w:t>
            </w:r>
            <w:r w:rsidR="000E7DC5">
              <w:rPr>
                <w:rFonts w:ascii="メイリオ" w:eastAsia="メイリオ" w:hAnsi="メイリオ" w:cs="ＭＳ Ｐゴシック" w:hint="eastAsia"/>
                <w:kern w:val="0"/>
                <w:sz w:val="20"/>
                <w:szCs w:val="20"/>
              </w:rPr>
              <w:t>（p</w:t>
            </w:r>
            <w:r w:rsidR="00F96C89">
              <w:rPr>
                <w:rFonts w:ascii="メイリオ" w:eastAsia="メイリオ" w:hAnsi="メイリオ" w:cs="ＭＳ Ｐゴシック" w:hint="eastAsia"/>
                <w:kern w:val="0"/>
                <w:sz w:val="20"/>
                <w:szCs w:val="20"/>
              </w:rPr>
              <w:t>29</w:t>
            </w:r>
            <w:r w:rsidR="000E7DC5">
              <w:rPr>
                <w:rFonts w:ascii="メイリオ" w:eastAsia="メイリオ" w:hAnsi="メイリオ" w:cs="ＭＳ Ｐゴシック" w:hint="eastAsia"/>
                <w:kern w:val="0"/>
                <w:sz w:val="20"/>
                <w:szCs w:val="20"/>
              </w:rPr>
              <w:t>）</w:t>
            </w:r>
          </w:p>
        </w:tc>
      </w:tr>
    </w:tbl>
    <w:p w14:paraId="4912D019" w14:textId="7FE3A73A" w:rsidR="002E19D4" w:rsidRPr="002E19D4" w:rsidRDefault="002E19D4">
      <w:pPr>
        <w:rPr>
          <w:rFonts w:ascii="Meiryo UI" w:eastAsia="Meiryo UI" w:hAnsi="Meiryo UI"/>
          <w:b/>
          <w:bCs/>
        </w:rPr>
      </w:pPr>
      <w:r w:rsidRPr="002E19D4">
        <w:rPr>
          <w:rFonts w:ascii="Meiryo UI" w:eastAsia="Meiryo UI" w:hAnsi="Meiryo UI" w:hint="eastAsia"/>
          <w:b/>
          <w:bCs/>
        </w:rPr>
        <w:lastRenderedPageBreak/>
        <w:t>＜その他＞</w:t>
      </w:r>
    </w:p>
    <w:tbl>
      <w:tblPr>
        <w:tblStyle w:val="a9"/>
        <w:tblpPr w:leftFromText="142" w:rightFromText="142" w:vertAnchor="text" w:horzAnchor="margin" w:tblpY="31"/>
        <w:tblW w:w="9918" w:type="dxa"/>
        <w:tblLook w:val="04A0" w:firstRow="1" w:lastRow="0" w:firstColumn="1" w:lastColumn="0" w:noHBand="0" w:noVBand="1"/>
      </w:tblPr>
      <w:tblGrid>
        <w:gridCol w:w="5098"/>
        <w:gridCol w:w="4820"/>
      </w:tblGrid>
      <w:tr w:rsidR="002E19D4" w:rsidRPr="00D012DD" w14:paraId="2D1099BC" w14:textId="77777777" w:rsidTr="00CC5932">
        <w:trPr>
          <w:trHeight w:val="388"/>
        </w:trPr>
        <w:tc>
          <w:tcPr>
            <w:tcW w:w="5098" w:type="dxa"/>
          </w:tcPr>
          <w:p w14:paraId="4A78AF09" w14:textId="77777777" w:rsidR="002E19D4" w:rsidRPr="00D012DD" w:rsidRDefault="002E19D4" w:rsidP="002E19D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主な指摘事項</w:t>
            </w:r>
          </w:p>
        </w:tc>
        <w:tc>
          <w:tcPr>
            <w:tcW w:w="4820" w:type="dxa"/>
          </w:tcPr>
          <w:p w14:paraId="12DFC18A" w14:textId="77777777" w:rsidR="002E19D4" w:rsidRPr="00D012DD" w:rsidRDefault="002E19D4" w:rsidP="002E19D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対応案</w:t>
            </w:r>
          </w:p>
        </w:tc>
      </w:tr>
      <w:tr w:rsidR="00B30BAC" w:rsidRPr="00D012DD" w14:paraId="4466774D" w14:textId="77777777" w:rsidTr="003D5EA4">
        <w:trPr>
          <w:trHeight w:val="840"/>
        </w:trPr>
        <w:tc>
          <w:tcPr>
            <w:tcW w:w="5098" w:type="dxa"/>
          </w:tcPr>
          <w:p w14:paraId="7F347E0C" w14:textId="72E293B6" w:rsidR="00B30BAC" w:rsidRDefault="00337C9A"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「豊かな大阪湾」の実現</w:t>
            </w:r>
            <w:r w:rsidR="004B616F">
              <w:rPr>
                <w:rFonts w:ascii="メイリオ" w:eastAsia="メイリオ" w:hAnsi="メイリオ" w:cs="ＭＳ Ｐゴシック" w:hint="eastAsia"/>
                <w:kern w:val="0"/>
                <w:sz w:val="20"/>
                <w:szCs w:val="20"/>
              </w:rPr>
              <w:t>には、</w:t>
            </w:r>
            <w:r>
              <w:rPr>
                <w:rFonts w:ascii="メイリオ" w:eastAsia="メイリオ" w:hAnsi="メイリオ" w:cs="ＭＳ Ｐゴシック" w:hint="eastAsia"/>
                <w:kern w:val="0"/>
                <w:sz w:val="20"/>
                <w:szCs w:val="20"/>
              </w:rPr>
              <w:t>良好な水環境や生態系の保全等が含まれ、</w:t>
            </w:r>
            <w:r w:rsidR="004B616F">
              <w:rPr>
                <w:rFonts w:ascii="メイリオ" w:eastAsia="メイリオ" w:hAnsi="メイリオ" w:cs="ＭＳ Ｐゴシック" w:hint="eastAsia"/>
                <w:kern w:val="0"/>
                <w:sz w:val="20"/>
                <w:szCs w:val="20"/>
              </w:rPr>
              <w:t>本地域計画の内容</w:t>
            </w:r>
            <w:r w:rsidR="002E19D4">
              <w:rPr>
                <w:rFonts w:ascii="メイリオ" w:eastAsia="メイリオ" w:hAnsi="メイリオ" w:cs="ＭＳ Ｐゴシック" w:hint="eastAsia"/>
                <w:kern w:val="0"/>
                <w:sz w:val="20"/>
                <w:szCs w:val="20"/>
              </w:rPr>
              <w:t>も</w:t>
            </w:r>
            <w:r w:rsidR="004B616F">
              <w:rPr>
                <w:rFonts w:ascii="メイリオ" w:eastAsia="メイリオ" w:hAnsi="メイリオ" w:cs="ＭＳ Ｐゴシック" w:hint="eastAsia"/>
                <w:kern w:val="0"/>
                <w:sz w:val="20"/>
                <w:szCs w:val="20"/>
              </w:rPr>
              <w:t>、</w:t>
            </w:r>
            <w:r>
              <w:rPr>
                <w:rFonts w:ascii="メイリオ" w:eastAsia="メイリオ" w:hAnsi="メイリオ" w:cs="ＭＳ Ｐゴシック" w:hint="eastAsia"/>
                <w:kern w:val="0"/>
                <w:sz w:val="20"/>
                <w:szCs w:val="20"/>
              </w:rPr>
              <w:t>その実現のため</w:t>
            </w:r>
            <w:r w:rsidR="004B616F">
              <w:rPr>
                <w:rFonts w:ascii="メイリオ" w:eastAsia="メイリオ" w:hAnsi="メイリオ" w:cs="ＭＳ Ｐゴシック" w:hint="eastAsia"/>
                <w:kern w:val="0"/>
                <w:sz w:val="20"/>
                <w:szCs w:val="20"/>
              </w:rPr>
              <w:t>の</w:t>
            </w:r>
            <w:r>
              <w:rPr>
                <w:rFonts w:ascii="メイリオ" w:eastAsia="メイリオ" w:hAnsi="メイリオ" w:cs="ＭＳ Ｐゴシック" w:hint="eastAsia"/>
                <w:kern w:val="0"/>
                <w:sz w:val="20"/>
                <w:szCs w:val="20"/>
              </w:rPr>
              <w:t>様々な取組みの一環であることがわかるよう、「背景」</w:t>
            </w:r>
            <w:r w:rsidR="004B616F">
              <w:rPr>
                <w:rFonts w:ascii="メイリオ" w:eastAsia="メイリオ" w:hAnsi="メイリオ" w:cs="ＭＳ Ｐゴシック" w:hint="eastAsia"/>
                <w:kern w:val="0"/>
                <w:sz w:val="20"/>
                <w:szCs w:val="20"/>
              </w:rPr>
              <w:t>または</w:t>
            </w:r>
            <w:r>
              <w:rPr>
                <w:rFonts w:ascii="メイリオ" w:eastAsia="メイリオ" w:hAnsi="メイリオ" w:cs="ＭＳ Ｐゴシック" w:hint="eastAsia"/>
                <w:kern w:val="0"/>
                <w:sz w:val="20"/>
                <w:szCs w:val="20"/>
              </w:rPr>
              <w:t>「はじめに」に記載してはどうか。</w:t>
            </w:r>
          </w:p>
        </w:tc>
        <w:tc>
          <w:tcPr>
            <w:tcW w:w="4820" w:type="dxa"/>
          </w:tcPr>
          <w:p w14:paraId="1BD48E5E" w14:textId="39BFC102" w:rsidR="00B30BAC" w:rsidRPr="00D012DD" w:rsidRDefault="004B616F"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「はじめに」に記載します。</w:t>
            </w:r>
            <w:r w:rsidR="000E7DC5">
              <w:rPr>
                <w:rFonts w:ascii="メイリオ" w:eastAsia="メイリオ" w:hAnsi="メイリオ" w:cs="ＭＳ Ｐゴシック" w:hint="eastAsia"/>
                <w:kern w:val="0"/>
                <w:sz w:val="20"/>
                <w:szCs w:val="20"/>
              </w:rPr>
              <w:t>（p</w:t>
            </w:r>
            <w:r w:rsidR="00F96C89">
              <w:rPr>
                <w:rFonts w:ascii="メイリオ" w:eastAsia="メイリオ" w:hAnsi="メイリオ" w:cs="ＭＳ Ｐゴシック" w:hint="eastAsia"/>
                <w:kern w:val="0"/>
                <w:sz w:val="20"/>
                <w:szCs w:val="20"/>
              </w:rPr>
              <w:t>2</w:t>
            </w:r>
            <w:r w:rsidR="000E7DC5">
              <w:rPr>
                <w:rFonts w:ascii="メイリオ" w:eastAsia="メイリオ" w:hAnsi="メイリオ" w:cs="ＭＳ Ｐゴシック" w:hint="eastAsia"/>
                <w:kern w:val="0"/>
                <w:sz w:val="20"/>
                <w:szCs w:val="20"/>
              </w:rPr>
              <w:t>）</w:t>
            </w:r>
          </w:p>
        </w:tc>
      </w:tr>
    </w:tbl>
    <w:p w14:paraId="4CB90856" w14:textId="77777777" w:rsidR="006972A5" w:rsidRPr="008D49A9" w:rsidRDefault="0051399F" w:rsidP="00337C9A">
      <w:pPr>
        <w:spacing w:line="300" w:lineRule="exact"/>
        <w:rPr>
          <w:rFonts w:ascii="メイリオ" w:eastAsia="メイリオ" w:hAnsi="メイリオ"/>
        </w:rPr>
      </w:pPr>
    </w:p>
    <w:sectPr w:rsidR="006972A5" w:rsidRPr="008D49A9" w:rsidSect="008D49A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FEE2C" w14:textId="77777777" w:rsidR="00B90ABF" w:rsidRDefault="00B90ABF" w:rsidP="00A702D4">
      <w:r>
        <w:separator/>
      </w:r>
    </w:p>
  </w:endnote>
  <w:endnote w:type="continuationSeparator" w:id="0">
    <w:p w14:paraId="12A36CEA" w14:textId="77777777" w:rsidR="00B90ABF" w:rsidRDefault="00B90ABF" w:rsidP="00A7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EC051" w14:textId="77777777" w:rsidR="00D663A3" w:rsidRDefault="00D663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E57C" w14:textId="77777777" w:rsidR="00D663A3" w:rsidRDefault="00D663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C00D2" w14:textId="77777777" w:rsidR="00D663A3" w:rsidRDefault="00D663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22AA" w14:textId="77777777" w:rsidR="00B90ABF" w:rsidRDefault="00B90ABF" w:rsidP="00A702D4">
      <w:r>
        <w:separator/>
      </w:r>
    </w:p>
  </w:footnote>
  <w:footnote w:type="continuationSeparator" w:id="0">
    <w:p w14:paraId="014F0109" w14:textId="77777777" w:rsidR="00B90ABF" w:rsidRDefault="00B90ABF" w:rsidP="00A7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D60B" w14:textId="77777777" w:rsidR="00D663A3" w:rsidRDefault="00D663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0B53" w14:textId="77777777" w:rsidR="00D663A3" w:rsidRDefault="00D663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B935" w14:textId="77777777" w:rsidR="00D663A3" w:rsidRDefault="00D663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A9"/>
    <w:rsid w:val="000E7DC5"/>
    <w:rsid w:val="001D2D7C"/>
    <w:rsid w:val="002E19D4"/>
    <w:rsid w:val="00337C9A"/>
    <w:rsid w:val="003D5EA4"/>
    <w:rsid w:val="00464DE7"/>
    <w:rsid w:val="0049415E"/>
    <w:rsid w:val="004B616F"/>
    <w:rsid w:val="0051399F"/>
    <w:rsid w:val="005D0436"/>
    <w:rsid w:val="005D19BF"/>
    <w:rsid w:val="006D61B7"/>
    <w:rsid w:val="00761D38"/>
    <w:rsid w:val="00846950"/>
    <w:rsid w:val="008704F5"/>
    <w:rsid w:val="008D49A9"/>
    <w:rsid w:val="00A702D4"/>
    <w:rsid w:val="00B30BAC"/>
    <w:rsid w:val="00B90ABF"/>
    <w:rsid w:val="00C34B1E"/>
    <w:rsid w:val="00CA10CD"/>
    <w:rsid w:val="00D012DD"/>
    <w:rsid w:val="00D55922"/>
    <w:rsid w:val="00D663A3"/>
    <w:rsid w:val="00DB72F6"/>
    <w:rsid w:val="00DD3FEF"/>
    <w:rsid w:val="00F9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B90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2D4"/>
    <w:pPr>
      <w:tabs>
        <w:tab w:val="center" w:pos="4252"/>
        <w:tab w:val="right" w:pos="8504"/>
      </w:tabs>
      <w:snapToGrid w:val="0"/>
    </w:pPr>
  </w:style>
  <w:style w:type="character" w:customStyle="1" w:styleId="a4">
    <w:name w:val="ヘッダー (文字)"/>
    <w:basedOn w:val="a0"/>
    <w:link w:val="a3"/>
    <w:uiPriority w:val="99"/>
    <w:rsid w:val="00A702D4"/>
  </w:style>
  <w:style w:type="paragraph" w:styleId="a5">
    <w:name w:val="footer"/>
    <w:basedOn w:val="a"/>
    <w:link w:val="a6"/>
    <w:uiPriority w:val="99"/>
    <w:unhideWhenUsed/>
    <w:rsid w:val="00A702D4"/>
    <w:pPr>
      <w:tabs>
        <w:tab w:val="center" w:pos="4252"/>
        <w:tab w:val="right" w:pos="8504"/>
      </w:tabs>
      <w:snapToGrid w:val="0"/>
    </w:pPr>
  </w:style>
  <w:style w:type="character" w:customStyle="1" w:styleId="a6">
    <w:name w:val="フッター (文字)"/>
    <w:basedOn w:val="a0"/>
    <w:link w:val="a5"/>
    <w:uiPriority w:val="99"/>
    <w:rsid w:val="00A702D4"/>
  </w:style>
  <w:style w:type="paragraph" w:styleId="a7">
    <w:name w:val="Balloon Text"/>
    <w:basedOn w:val="a"/>
    <w:link w:val="a8"/>
    <w:uiPriority w:val="99"/>
    <w:semiHidden/>
    <w:unhideWhenUsed/>
    <w:rsid w:val="00A702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2D4"/>
    <w:rPr>
      <w:rFonts w:asciiTheme="majorHAnsi" w:eastAsiaTheme="majorEastAsia" w:hAnsiTheme="majorHAnsi" w:cstheme="majorBidi"/>
      <w:sz w:val="18"/>
      <w:szCs w:val="18"/>
    </w:rPr>
  </w:style>
  <w:style w:type="table" w:styleId="a9">
    <w:name w:val="Table Grid"/>
    <w:basedOn w:val="a1"/>
    <w:uiPriority w:val="39"/>
    <w:rsid w:val="00D0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6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2020-10-15T04:31:00Z</dcterms:created>
  <dcterms:modified xsi:type="dcterms:W3CDTF">2020-10-15T04:31:00Z</dcterms:modified>
</cp:coreProperties>
</file>