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0FE8" w14:textId="77777777" w:rsidR="006F336D" w:rsidRDefault="002722A9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3E7D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51000" wp14:editId="2E151001">
                <wp:simplePos x="0" y="0"/>
                <wp:positionH relativeFrom="column">
                  <wp:posOffset>4858385</wp:posOffset>
                </wp:positionH>
                <wp:positionV relativeFrom="paragraph">
                  <wp:posOffset>-183515</wp:posOffset>
                </wp:positionV>
                <wp:extent cx="1331595" cy="368935"/>
                <wp:effectExtent l="0" t="0" r="20955" b="13970"/>
                <wp:wrapNone/>
                <wp:docPr id="108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368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E151006" w14:textId="77777777" w:rsidR="002722A9" w:rsidRPr="00C85A50" w:rsidRDefault="002722A9" w:rsidP="002722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85A5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資料１－３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6" type="#_x0000_t202" style="position:absolute;left:0;text-align:left;margin-left:382.55pt;margin-top:-14.45pt;width:104.85pt;height:2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" filled="f" strokecolor="windowText" strokeweight="1pt">
                <v:textbox style="mso-fit-shape-to-text:t">
                  <w:txbxContent>
                    <w:p w14:paraId="2E151006" w14:textId="77777777" w:rsidR="002722A9" w:rsidRPr="00C85A50" w:rsidRDefault="002722A9" w:rsidP="002722A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85A5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資料１－３</w:t>
                      </w:r>
                    </w:p>
                  </w:txbxContent>
                </v:textbox>
              </v:shape>
            </w:pict>
          </mc:Fallback>
        </mc:AlternateContent>
      </w:r>
    </w:p>
    <w:p w14:paraId="2E150FE9" w14:textId="77777777" w:rsidR="00F51ED3" w:rsidRPr="00127369" w:rsidRDefault="00F51ED3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65395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</w:t>
      </w: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審議会</w:t>
      </w:r>
      <w:r w:rsidR="00071949"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</w:t>
      </w:r>
      <w:r w:rsidR="00127369" w:rsidRPr="00127369">
        <w:rPr>
          <w:rFonts w:asciiTheme="majorEastAsia" w:eastAsiaTheme="majorEastAsia" w:hAnsiTheme="majorEastAsia" w:hint="eastAsia"/>
          <w:sz w:val="24"/>
          <w:szCs w:val="24"/>
        </w:rPr>
        <w:t>土壌汚染対策検討部会</w:t>
      </w:r>
      <w:r w:rsidR="00071949"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</w:t>
      </w: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運営要領</w:t>
      </w:r>
      <w:r w:rsidR="00E5380B"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（案）</w:t>
      </w:r>
    </w:p>
    <w:p w14:paraId="2E150FEA" w14:textId="77777777" w:rsidR="00684647" w:rsidRPr="00E74C31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E150FEB" w14:textId="77777777"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第１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趣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旨</w:t>
      </w:r>
    </w:p>
    <w:p w14:paraId="2E150FEC" w14:textId="77777777" w:rsidR="00BB01F5" w:rsidRPr="00E74C31" w:rsidRDefault="00DF3780" w:rsidP="00DF3780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spacing w:val="2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大阪府環境審議会条例（平成６年大阪府条例第７号。以下「条例」という。）第６</w:t>
      </w:r>
      <w:bookmarkStart w:id="0" w:name="_GoBack"/>
      <w:bookmarkEnd w:id="0"/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条第２項の規定により、</w:t>
      </w:r>
      <w:r w:rsidR="006A6ED4" w:rsidRPr="006A6ED4">
        <w:rPr>
          <w:rFonts w:asciiTheme="majorEastAsia" w:eastAsiaTheme="majorEastAsia" w:hAnsiTheme="majorEastAsia" w:hint="eastAsia"/>
          <w:sz w:val="24"/>
        </w:rPr>
        <w:t>大阪府生活環境の保全等に関する条例に基づく</w:t>
      </w:r>
      <w:r w:rsidR="00127369" w:rsidRPr="006A6ED4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6A6ED4">
        <w:rPr>
          <w:rFonts w:asciiTheme="majorEastAsia" w:eastAsiaTheme="majorEastAsia" w:hAnsiTheme="majorEastAsia" w:hint="eastAsia"/>
          <w:sz w:val="24"/>
          <w:szCs w:val="24"/>
        </w:rPr>
        <w:t>壌汚染対策</w:t>
      </w:r>
      <w:r w:rsidR="00583B93"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のあ</w:t>
      </w:r>
      <w:r w:rsidR="00370114"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り方について</w:t>
      </w:r>
      <w:r w:rsidR="00135B7B"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検討するため、</w:t>
      </w:r>
      <w:r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大阪府環境審議会に</w:t>
      </w:r>
      <w:r w:rsidR="00127369" w:rsidRPr="00127369">
        <w:rPr>
          <w:rFonts w:asciiTheme="majorEastAsia" w:eastAsiaTheme="majorEastAsia" w:hAnsiTheme="majorEastAsia" w:hint="eastAsia"/>
          <w:sz w:val="24"/>
          <w:szCs w:val="24"/>
        </w:rPr>
        <w:t>土壌汚染対策検討部会</w:t>
      </w:r>
      <w:r w:rsidRPr="00E74C31">
        <w:rPr>
          <w:rFonts w:asciiTheme="majorEastAsia" w:eastAsiaTheme="majorEastAsia" w:hAnsiTheme="majorEastAsia" w:cs="ＭＳゴシック" w:hint="eastAsia"/>
          <w:spacing w:val="2"/>
          <w:kern w:val="0"/>
          <w:sz w:val="24"/>
          <w:szCs w:val="24"/>
        </w:rPr>
        <w:t>（以下「部会」という。）を置く。</w:t>
      </w:r>
    </w:p>
    <w:p w14:paraId="2E150FED" w14:textId="77777777" w:rsidR="00684647" w:rsidRPr="00AE1704" w:rsidRDefault="00684647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E150FEE" w14:textId="77777777"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組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織</w:t>
      </w:r>
    </w:p>
    <w:p w14:paraId="2E150FEF" w14:textId="77777777"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(1)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部会は、条例第６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第３項の規定により、次に掲げる者につき、会長が指名する委員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及び専門委員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で組織する。</w:t>
      </w:r>
    </w:p>
    <w:p w14:paraId="2E150FF0" w14:textId="77777777" w:rsidR="00F51ED3" w:rsidRPr="00AE1704" w:rsidRDefault="00E5380B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①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条例第２条第１項第１号に規定する委員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14:paraId="2E150FF1" w14:textId="77777777" w:rsidR="00F37B71" w:rsidRPr="00AE1704" w:rsidRDefault="00F37B71" w:rsidP="00F61B9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② 条例第３条第２項に規定する専門委員</w:t>
      </w:r>
      <w:r w:rsidR="00F61B9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="00125B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２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名程度</w:t>
      </w:r>
    </w:p>
    <w:p w14:paraId="2E150FF2" w14:textId="77777777" w:rsidR="00F51ED3" w:rsidRPr="00AE1704" w:rsidRDefault="004F369C" w:rsidP="00116E8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="00F51ED3"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116E8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部会に部会長を置く。部会長は、委員の中から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会長が指名する。</w:t>
      </w:r>
    </w:p>
    <w:p w14:paraId="2E150FF3" w14:textId="77777777" w:rsidR="00F51ED3" w:rsidRPr="00AE1704" w:rsidRDefault="00F51ED3" w:rsidP="00B72D08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(3)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部会長に事故があるときは、部会に属する委員のうちから、あらかじめ部会長の指名する者がその職務を代理する。</w:t>
      </w:r>
    </w:p>
    <w:p w14:paraId="2E150FF4" w14:textId="77777777" w:rsidR="005116E5" w:rsidRPr="00AE1704" w:rsidRDefault="005116E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E150FF5" w14:textId="77777777"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議</w:t>
      </w:r>
    </w:p>
    <w:p w14:paraId="2E150FF6" w14:textId="77777777" w:rsidR="00F51ED3" w:rsidRPr="00AE1704" w:rsidRDefault="005116E5" w:rsidP="005116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(1)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F51ED3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部会の会議は、部会長が招集し、部会長がその議長となる。</w:t>
      </w:r>
    </w:p>
    <w:p w14:paraId="2E150FF7" w14:textId="77777777" w:rsidR="005116E5" w:rsidRPr="00AE1704" w:rsidRDefault="005116E5" w:rsidP="005116E5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(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>)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="00EF14F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部会は、これに属する委員</w:t>
      </w:r>
      <w:r w:rsidR="00F37B71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</w:t>
      </w:r>
      <w:r w:rsidR="00EC7C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専門委員の２分の１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以上が出席しなければ会議を開くことができない。</w:t>
      </w:r>
    </w:p>
    <w:p w14:paraId="2E150FF8" w14:textId="77777777" w:rsidR="00327A08" w:rsidRPr="00AE1704" w:rsidRDefault="00327A08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E150FF9" w14:textId="77777777" w:rsidR="00F51ED3" w:rsidRPr="00AE1704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135B7B"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補</w:t>
      </w:r>
      <w:r w:rsidRPr="00AE1704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則</w:t>
      </w:r>
    </w:p>
    <w:p w14:paraId="2E150FFA" w14:textId="77777777" w:rsidR="00F51ED3" w:rsidRPr="00AE1704" w:rsidRDefault="00F51ED3" w:rsidP="00B72D0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この要領に定めるもののほか、部会の運営に関し必要な事項は、部会長が定める。</w:t>
      </w:r>
    </w:p>
    <w:p w14:paraId="2E150FFB" w14:textId="77777777" w:rsidR="00BB01F5" w:rsidRPr="00AE1704" w:rsidRDefault="00BB01F5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2E150FFC" w14:textId="77777777" w:rsidR="006C44C3" w:rsidRPr="00AE1704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AE1704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14:paraId="2E150FFD" w14:textId="77777777" w:rsidR="00127369" w:rsidRPr="00127369" w:rsidRDefault="00127369" w:rsidP="00127369">
      <w:pPr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この要領は、平成21年５月11日から施行する。</w:t>
      </w:r>
    </w:p>
    <w:p w14:paraId="2E150FFE" w14:textId="77777777" w:rsidR="00127369" w:rsidRPr="00127369" w:rsidRDefault="00127369" w:rsidP="00127369">
      <w:pPr>
        <w:ind w:firstLineChars="100" w:firstLine="24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2736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この要領は、平成29年６月　日から施行する。</w:t>
      </w:r>
    </w:p>
    <w:p w14:paraId="2E150FFF" w14:textId="77777777" w:rsidR="00127369" w:rsidRPr="00127369" w:rsidRDefault="00127369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sectPr w:rsidR="00127369" w:rsidRPr="00127369" w:rsidSect="00911743">
      <w:pgSz w:w="11906" w:h="16838" w:code="9"/>
      <w:pgMar w:top="1304" w:right="1418" w:bottom="1304" w:left="1418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1004" w14:textId="77777777" w:rsidR="0042306A" w:rsidRDefault="0042306A" w:rsidP="00940F4F">
      <w:r>
        <w:separator/>
      </w:r>
    </w:p>
  </w:endnote>
  <w:endnote w:type="continuationSeparator" w:id="0">
    <w:p w14:paraId="2E151005" w14:textId="77777777" w:rsidR="0042306A" w:rsidRDefault="0042306A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1002" w14:textId="77777777" w:rsidR="0042306A" w:rsidRDefault="0042306A" w:rsidP="00940F4F">
      <w:r>
        <w:separator/>
      </w:r>
    </w:p>
  </w:footnote>
  <w:footnote w:type="continuationSeparator" w:id="0">
    <w:p w14:paraId="2E151003" w14:textId="77777777" w:rsidR="0042306A" w:rsidRDefault="0042306A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3212C"/>
    <w:rsid w:val="0003277F"/>
    <w:rsid w:val="00037405"/>
    <w:rsid w:val="00052E41"/>
    <w:rsid w:val="000625B3"/>
    <w:rsid w:val="00070E97"/>
    <w:rsid w:val="00071949"/>
    <w:rsid w:val="000742E4"/>
    <w:rsid w:val="000838FA"/>
    <w:rsid w:val="00090F64"/>
    <w:rsid w:val="000B798E"/>
    <w:rsid w:val="000C6E55"/>
    <w:rsid w:val="000E3997"/>
    <w:rsid w:val="000E7C70"/>
    <w:rsid w:val="00116E81"/>
    <w:rsid w:val="00125B0F"/>
    <w:rsid w:val="00127369"/>
    <w:rsid w:val="00135B7B"/>
    <w:rsid w:val="00176973"/>
    <w:rsid w:val="001A0254"/>
    <w:rsid w:val="001B07E1"/>
    <w:rsid w:val="001B6607"/>
    <w:rsid w:val="001C5E35"/>
    <w:rsid w:val="001F06F7"/>
    <w:rsid w:val="001F199E"/>
    <w:rsid w:val="00202DA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722A9"/>
    <w:rsid w:val="00291240"/>
    <w:rsid w:val="002C159C"/>
    <w:rsid w:val="002C62D1"/>
    <w:rsid w:val="002E041B"/>
    <w:rsid w:val="003044C8"/>
    <w:rsid w:val="00305258"/>
    <w:rsid w:val="00305675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3E7DBC"/>
    <w:rsid w:val="0040184B"/>
    <w:rsid w:val="00403E53"/>
    <w:rsid w:val="00422F59"/>
    <w:rsid w:val="0042306A"/>
    <w:rsid w:val="00460A65"/>
    <w:rsid w:val="004713DB"/>
    <w:rsid w:val="004767FD"/>
    <w:rsid w:val="00492A3C"/>
    <w:rsid w:val="004B2977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B350B"/>
    <w:rsid w:val="005C1B50"/>
    <w:rsid w:val="005C637B"/>
    <w:rsid w:val="005C70D0"/>
    <w:rsid w:val="005D231B"/>
    <w:rsid w:val="005E75EB"/>
    <w:rsid w:val="005F18C7"/>
    <w:rsid w:val="00610692"/>
    <w:rsid w:val="006138FF"/>
    <w:rsid w:val="006376C8"/>
    <w:rsid w:val="00653957"/>
    <w:rsid w:val="0066743D"/>
    <w:rsid w:val="00667A39"/>
    <w:rsid w:val="00684647"/>
    <w:rsid w:val="006855F3"/>
    <w:rsid w:val="006959CB"/>
    <w:rsid w:val="006A34EF"/>
    <w:rsid w:val="006A6ED4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70D42"/>
    <w:rsid w:val="007A4F15"/>
    <w:rsid w:val="007C02A8"/>
    <w:rsid w:val="007C41F2"/>
    <w:rsid w:val="007D3D73"/>
    <w:rsid w:val="007D4670"/>
    <w:rsid w:val="007E6730"/>
    <w:rsid w:val="007F23CE"/>
    <w:rsid w:val="007F26E8"/>
    <w:rsid w:val="00811DE6"/>
    <w:rsid w:val="00820EB8"/>
    <w:rsid w:val="00836D81"/>
    <w:rsid w:val="00843A15"/>
    <w:rsid w:val="00846222"/>
    <w:rsid w:val="00872C56"/>
    <w:rsid w:val="008759CC"/>
    <w:rsid w:val="008E5414"/>
    <w:rsid w:val="00911743"/>
    <w:rsid w:val="0091238E"/>
    <w:rsid w:val="00936884"/>
    <w:rsid w:val="00940F4F"/>
    <w:rsid w:val="009521C1"/>
    <w:rsid w:val="009A14D3"/>
    <w:rsid w:val="009A657E"/>
    <w:rsid w:val="009A702D"/>
    <w:rsid w:val="009B7B5B"/>
    <w:rsid w:val="009F0596"/>
    <w:rsid w:val="00A070F7"/>
    <w:rsid w:val="00A217FC"/>
    <w:rsid w:val="00A22C0C"/>
    <w:rsid w:val="00A625AA"/>
    <w:rsid w:val="00A67556"/>
    <w:rsid w:val="00A71430"/>
    <w:rsid w:val="00A723E0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A12D9"/>
    <w:rsid w:val="00BB01F5"/>
    <w:rsid w:val="00BB303B"/>
    <w:rsid w:val="00BF5477"/>
    <w:rsid w:val="00BF7F10"/>
    <w:rsid w:val="00C01A5C"/>
    <w:rsid w:val="00C05F82"/>
    <w:rsid w:val="00C0788E"/>
    <w:rsid w:val="00C351A2"/>
    <w:rsid w:val="00C754C1"/>
    <w:rsid w:val="00C75FE5"/>
    <w:rsid w:val="00C85A50"/>
    <w:rsid w:val="00CC6614"/>
    <w:rsid w:val="00CD3E4E"/>
    <w:rsid w:val="00CE16D9"/>
    <w:rsid w:val="00CE2158"/>
    <w:rsid w:val="00D45103"/>
    <w:rsid w:val="00D66FA3"/>
    <w:rsid w:val="00DC04FE"/>
    <w:rsid w:val="00DC28B2"/>
    <w:rsid w:val="00DD376A"/>
    <w:rsid w:val="00DD5AE8"/>
    <w:rsid w:val="00DF3780"/>
    <w:rsid w:val="00DF4332"/>
    <w:rsid w:val="00E434BA"/>
    <w:rsid w:val="00E5380B"/>
    <w:rsid w:val="00E56406"/>
    <w:rsid w:val="00E6627E"/>
    <w:rsid w:val="00E7211E"/>
    <w:rsid w:val="00E74C31"/>
    <w:rsid w:val="00E84BFC"/>
    <w:rsid w:val="00EA63AC"/>
    <w:rsid w:val="00EC4238"/>
    <w:rsid w:val="00EC7C01"/>
    <w:rsid w:val="00EF14F7"/>
    <w:rsid w:val="00F375BE"/>
    <w:rsid w:val="00F37B71"/>
    <w:rsid w:val="00F51ED3"/>
    <w:rsid w:val="00F61B99"/>
    <w:rsid w:val="00F646CF"/>
    <w:rsid w:val="00F66C6B"/>
    <w:rsid w:val="00F94ADE"/>
    <w:rsid w:val="00FA004B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50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55AC-E36F-417C-81E5-A91C9A599DF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AB2B9-E8F1-4AF3-8FB4-EF0E98B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C130F-10D6-43AA-8DB8-8FDDE694B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B77BC-674C-4DAB-917A-8D9A070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足立　崇博</cp:lastModifiedBy>
  <cp:revision>17</cp:revision>
  <cp:lastPrinted>2017-05-24T01:13:00Z</cp:lastPrinted>
  <dcterms:created xsi:type="dcterms:W3CDTF">2017-05-08T08:51:00Z</dcterms:created>
  <dcterms:modified xsi:type="dcterms:W3CDTF">2017-05-25T03:42:00Z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