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48" w:rsidRDefault="005B6D74" w:rsidP="004A5948">
      <w:pPr>
        <w:jc w:val="right"/>
        <w:rPr>
          <w:sz w:val="24"/>
          <w:szCs w:val="24"/>
        </w:rPr>
      </w:pPr>
      <w:r>
        <w:rPr>
          <w:rFonts w:hint="eastAsia"/>
          <w:noProof/>
          <w:kern w:val="0"/>
          <w:sz w:val="24"/>
          <w:szCs w:val="24"/>
        </w:rPr>
        <mc:AlternateContent>
          <mc:Choice Requires="wps">
            <w:drawing>
              <wp:anchor distT="0" distB="0" distL="114300" distR="114300" simplePos="0" relativeHeight="251661312" behindDoc="0" locked="0" layoutInCell="1" allowOverlap="1" wp14:anchorId="6FBE2504" wp14:editId="6C9EF719">
                <wp:simplePos x="0" y="0"/>
                <wp:positionH relativeFrom="margin">
                  <wp:posOffset>4605020</wp:posOffset>
                </wp:positionH>
                <wp:positionV relativeFrom="paragraph">
                  <wp:posOffset>-622300</wp:posOffset>
                </wp:positionV>
                <wp:extent cx="1104900" cy="400050"/>
                <wp:effectExtent l="0" t="0" r="19050" b="14605"/>
                <wp:wrapNone/>
                <wp:docPr id="2" name="テキスト ボックス 2"/>
                <wp:cNvGraphicFramePr/>
                <a:graphic xmlns:a="http://schemas.openxmlformats.org/drawingml/2006/main">
                  <a:graphicData uri="http://schemas.microsoft.com/office/word/2010/wordprocessingShape">
                    <wps:wsp>
                      <wps:cNvSpPr txBox="1"/>
                      <wps:spPr>
                        <a:xfrm>
                          <a:off x="0" y="0"/>
                          <a:ext cx="1104900" cy="400050"/>
                        </a:xfrm>
                        <a:prstGeom prst="rect">
                          <a:avLst/>
                        </a:prstGeom>
                        <a:solidFill>
                          <a:sysClr val="window" lastClr="FFFFFF"/>
                        </a:solidFill>
                        <a:ln w="6350">
                          <a:solidFill>
                            <a:schemeClr val="tx1"/>
                          </a:solidFill>
                        </a:ln>
                        <a:effectLst/>
                      </wps:spPr>
                      <wps:txbx>
                        <w:txbxContent>
                          <w:p w:rsidR="005B6D74" w:rsidRPr="005B6D74" w:rsidRDefault="005B6D74" w:rsidP="005B6D74">
                            <w:pPr>
                              <w:snapToGrid w:val="0"/>
                              <w:jc w:val="center"/>
                              <w:rPr>
                                <w:rFonts w:asciiTheme="majorEastAsia" w:eastAsiaTheme="majorEastAsia" w:hAnsiTheme="majorEastAsia"/>
                                <w:sz w:val="28"/>
                              </w:rPr>
                            </w:pPr>
                            <w:r w:rsidRPr="005B6D74">
                              <w:rPr>
                                <w:rFonts w:asciiTheme="majorEastAsia" w:eastAsiaTheme="majorEastAsia" w:hAnsiTheme="majorEastAsia" w:hint="eastAsia"/>
                                <w:sz w:val="28"/>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6pt;margin-top:-49pt;width:87pt;height:3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" fillcolor="window" strokecolor="black [3213]" strokeweight=".5pt">
                <v:textbox style="mso-fit-shape-to-text:t">
                  <w:txbxContent>
                    <w:p w:rsidR="005B6D74" w:rsidRPr="005B6D74" w:rsidRDefault="005B6D74" w:rsidP="005B6D74">
                      <w:pPr>
                        <w:snapToGrid w:val="0"/>
                        <w:jc w:val="center"/>
                        <w:rPr>
                          <w:rFonts w:asciiTheme="majorEastAsia" w:eastAsiaTheme="majorEastAsia" w:hAnsiTheme="majorEastAsia"/>
                          <w:sz w:val="28"/>
                        </w:rPr>
                      </w:pPr>
                      <w:r w:rsidRPr="005B6D74">
                        <w:rPr>
                          <w:rFonts w:asciiTheme="majorEastAsia" w:eastAsiaTheme="majorEastAsia" w:hAnsiTheme="majorEastAsia" w:hint="eastAsia"/>
                          <w:sz w:val="28"/>
                        </w:rPr>
                        <w:t>資料１－１</w:t>
                      </w:r>
                    </w:p>
                  </w:txbxContent>
                </v:textbox>
                <w10:wrap anchorx="margin"/>
              </v:shape>
            </w:pict>
          </mc:Fallback>
        </mc:AlternateContent>
      </w:r>
      <w:r w:rsidR="004A5948">
        <w:rPr>
          <w:rFonts w:hint="eastAsia"/>
          <w:kern w:val="0"/>
          <w:sz w:val="24"/>
          <w:szCs w:val="24"/>
        </w:rPr>
        <w:t>エネ政</w:t>
      </w:r>
      <w:r w:rsidR="004A5948" w:rsidRPr="004A5948">
        <w:rPr>
          <w:rFonts w:hint="eastAsia"/>
          <w:kern w:val="0"/>
          <w:sz w:val="24"/>
          <w:szCs w:val="24"/>
        </w:rPr>
        <w:t>第</w:t>
      </w:r>
      <w:r w:rsidR="00F322EE">
        <w:rPr>
          <w:rFonts w:hint="eastAsia"/>
          <w:kern w:val="0"/>
          <w:sz w:val="24"/>
          <w:szCs w:val="24"/>
        </w:rPr>
        <w:t>１６９８</w:t>
      </w:r>
      <w:r w:rsidR="004A5948" w:rsidRPr="004A5948">
        <w:rPr>
          <w:rFonts w:hint="eastAsia"/>
          <w:kern w:val="0"/>
          <w:sz w:val="24"/>
          <w:szCs w:val="24"/>
        </w:rPr>
        <w:t>号</w:t>
      </w:r>
    </w:p>
    <w:p w:rsidR="004A5948" w:rsidRDefault="004A5948" w:rsidP="004A5948">
      <w:pPr>
        <w:jc w:val="right"/>
        <w:rPr>
          <w:sz w:val="24"/>
          <w:szCs w:val="24"/>
        </w:rPr>
      </w:pPr>
      <w:r w:rsidRPr="004A5948">
        <w:rPr>
          <w:rFonts w:hint="eastAsia"/>
          <w:w w:val="91"/>
          <w:kern w:val="0"/>
          <w:sz w:val="24"/>
          <w:szCs w:val="24"/>
          <w:fitText w:val="2160" w:id="1259073536"/>
        </w:rPr>
        <w:t>平成</w:t>
      </w:r>
      <w:r w:rsidRPr="004A5948">
        <w:rPr>
          <w:w w:val="91"/>
          <w:kern w:val="0"/>
          <w:sz w:val="24"/>
          <w:szCs w:val="24"/>
          <w:fitText w:val="2160" w:id="1259073536"/>
        </w:rPr>
        <w:t>28</w:t>
      </w:r>
      <w:r w:rsidRPr="004A5948">
        <w:rPr>
          <w:rFonts w:hint="eastAsia"/>
          <w:w w:val="91"/>
          <w:kern w:val="0"/>
          <w:sz w:val="24"/>
          <w:szCs w:val="24"/>
          <w:fitText w:val="2160" w:id="1259073536"/>
        </w:rPr>
        <w:t>年</w:t>
      </w:r>
      <w:r w:rsidRPr="004A5948">
        <w:rPr>
          <w:rFonts w:hint="eastAsia"/>
          <w:w w:val="91"/>
          <w:kern w:val="0"/>
          <w:sz w:val="24"/>
          <w:szCs w:val="24"/>
          <w:fitText w:val="2160" w:id="1259073536"/>
        </w:rPr>
        <w:t>11</w:t>
      </w:r>
      <w:r w:rsidRPr="004A5948">
        <w:rPr>
          <w:rFonts w:hint="eastAsia"/>
          <w:w w:val="91"/>
          <w:kern w:val="0"/>
          <w:sz w:val="24"/>
          <w:szCs w:val="24"/>
          <w:fitText w:val="2160" w:id="1259073536"/>
        </w:rPr>
        <w:t>月</w:t>
      </w:r>
      <w:r w:rsidRPr="004A5948">
        <w:rPr>
          <w:w w:val="91"/>
          <w:kern w:val="0"/>
          <w:sz w:val="24"/>
          <w:szCs w:val="24"/>
          <w:fitText w:val="2160" w:id="1259073536"/>
        </w:rPr>
        <w:t>2</w:t>
      </w:r>
      <w:r w:rsidRPr="004A5948">
        <w:rPr>
          <w:rFonts w:hint="eastAsia"/>
          <w:w w:val="91"/>
          <w:kern w:val="0"/>
          <w:sz w:val="24"/>
          <w:szCs w:val="24"/>
          <w:fitText w:val="2160" w:id="1259073536"/>
        </w:rPr>
        <w:t>5</w:t>
      </w:r>
      <w:r w:rsidRPr="004A5948">
        <w:rPr>
          <w:rFonts w:hint="eastAsia"/>
          <w:spacing w:val="8"/>
          <w:w w:val="91"/>
          <w:kern w:val="0"/>
          <w:sz w:val="24"/>
          <w:szCs w:val="24"/>
          <w:fitText w:val="2160" w:id="1259073536"/>
        </w:rPr>
        <w:t>日</w:t>
      </w:r>
    </w:p>
    <w:p w:rsidR="004A5948" w:rsidRDefault="004A5948" w:rsidP="004A5948">
      <w:pPr>
        <w:rPr>
          <w:sz w:val="24"/>
          <w:szCs w:val="24"/>
        </w:rPr>
      </w:pPr>
    </w:p>
    <w:p w:rsidR="004A5948" w:rsidRPr="004A5948" w:rsidRDefault="004A5948" w:rsidP="004A5948">
      <w:pPr>
        <w:rPr>
          <w:sz w:val="24"/>
          <w:szCs w:val="24"/>
        </w:rPr>
      </w:pPr>
    </w:p>
    <w:p w:rsidR="004A5948" w:rsidRDefault="004A5948" w:rsidP="004A5948">
      <w:pPr>
        <w:rPr>
          <w:sz w:val="24"/>
          <w:szCs w:val="24"/>
        </w:rPr>
      </w:pPr>
      <w:r>
        <w:rPr>
          <w:rFonts w:hint="eastAsia"/>
          <w:sz w:val="24"/>
          <w:szCs w:val="24"/>
        </w:rPr>
        <w:t>大阪府環境審議会</w:t>
      </w:r>
    </w:p>
    <w:p w:rsidR="004A5948" w:rsidRDefault="004A5948" w:rsidP="004A5948">
      <w:pPr>
        <w:ind w:firstLineChars="100" w:firstLine="240"/>
        <w:rPr>
          <w:sz w:val="24"/>
          <w:szCs w:val="24"/>
        </w:rPr>
      </w:pPr>
      <w:r>
        <w:rPr>
          <w:rFonts w:hint="eastAsia"/>
          <w:sz w:val="24"/>
          <w:szCs w:val="24"/>
        </w:rPr>
        <w:t>会長　石井　実　様</w:t>
      </w:r>
      <w:bookmarkStart w:id="0" w:name="_GoBack"/>
      <w:bookmarkEnd w:id="0"/>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ind w:rightChars="269" w:right="565"/>
        <w:jc w:val="right"/>
        <w:rPr>
          <w:sz w:val="24"/>
          <w:szCs w:val="24"/>
        </w:rPr>
      </w:pPr>
      <w:r>
        <w:rPr>
          <w:rFonts w:hint="eastAsia"/>
          <w:sz w:val="24"/>
          <w:szCs w:val="24"/>
        </w:rPr>
        <w:t>大阪府知事　松井</w:t>
      </w:r>
      <w:r>
        <w:rPr>
          <w:sz w:val="24"/>
          <w:szCs w:val="24"/>
        </w:rPr>
        <w:t xml:space="preserve"> </w:t>
      </w:r>
      <w:r>
        <w:rPr>
          <w:rFonts w:hint="eastAsia"/>
          <w:sz w:val="24"/>
          <w:szCs w:val="24"/>
        </w:rPr>
        <w:t>一郎</w:t>
      </w: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jc w:val="center"/>
        <w:rPr>
          <w:sz w:val="24"/>
          <w:szCs w:val="24"/>
        </w:rPr>
      </w:pPr>
      <w:r w:rsidRPr="004A5948">
        <w:rPr>
          <w:rFonts w:hint="eastAsia"/>
          <w:sz w:val="24"/>
          <w:szCs w:val="24"/>
        </w:rPr>
        <w:t>気候変動の影響</w:t>
      </w:r>
      <w:r w:rsidR="00CD6072">
        <w:rPr>
          <w:rFonts w:hint="eastAsia"/>
          <w:sz w:val="24"/>
          <w:szCs w:val="24"/>
        </w:rPr>
        <w:t>への</w:t>
      </w:r>
      <w:r w:rsidRPr="004A5948">
        <w:rPr>
          <w:rFonts w:hint="eastAsia"/>
          <w:sz w:val="24"/>
          <w:szCs w:val="24"/>
        </w:rPr>
        <w:t>適応について</w:t>
      </w:r>
      <w:r>
        <w:rPr>
          <w:rFonts w:hint="eastAsia"/>
          <w:sz w:val="24"/>
          <w:szCs w:val="24"/>
        </w:rPr>
        <w:t>（諮問）</w:t>
      </w:r>
    </w:p>
    <w:p w:rsidR="004A5948" w:rsidRDefault="004A5948" w:rsidP="004A5948">
      <w:pPr>
        <w:rPr>
          <w:sz w:val="24"/>
          <w:szCs w:val="24"/>
        </w:rPr>
      </w:pPr>
    </w:p>
    <w:p w:rsidR="004A5948" w:rsidRDefault="004A5948" w:rsidP="004A5948">
      <w:pPr>
        <w:rPr>
          <w:sz w:val="24"/>
          <w:szCs w:val="24"/>
        </w:rPr>
      </w:pPr>
    </w:p>
    <w:p w:rsidR="004A5948" w:rsidRDefault="004A5948" w:rsidP="004A5948">
      <w:pPr>
        <w:ind w:firstLineChars="118" w:firstLine="283"/>
        <w:rPr>
          <w:sz w:val="24"/>
          <w:szCs w:val="24"/>
        </w:rPr>
      </w:pPr>
      <w:r>
        <w:rPr>
          <w:rFonts w:hint="eastAsia"/>
          <w:sz w:val="24"/>
          <w:szCs w:val="24"/>
        </w:rPr>
        <w:t>標記について、貴審議会の意見を求めます。</w:t>
      </w: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rPr>
          <w:sz w:val="24"/>
          <w:szCs w:val="24"/>
        </w:rPr>
      </w:pPr>
    </w:p>
    <w:p w:rsidR="004A5948" w:rsidRDefault="004A5948" w:rsidP="004A5948">
      <w:pPr>
        <w:widowControl/>
        <w:jc w:val="left"/>
        <w:rPr>
          <w:sz w:val="24"/>
          <w:szCs w:val="24"/>
        </w:rPr>
      </w:pPr>
      <w:r>
        <w:rPr>
          <w:kern w:val="0"/>
          <w:sz w:val="24"/>
          <w:szCs w:val="24"/>
        </w:rPr>
        <w:br w:type="page"/>
      </w:r>
    </w:p>
    <w:p w:rsidR="00D4463A" w:rsidRDefault="00D4463A" w:rsidP="00684E11">
      <w:pPr>
        <w:ind w:right="-1"/>
        <w:jc w:val="right"/>
        <w:rPr>
          <w:sz w:val="24"/>
        </w:rPr>
      </w:pPr>
      <w:r>
        <w:rPr>
          <w:rFonts w:hint="eastAsia"/>
          <w:sz w:val="24"/>
        </w:rPr>
        <w:lastRenderedPageBreak/>
        <w:t>（説</w:t>
      </w:r>
      <w:r w:rsidR="00806822">
        <w:rPr>
          <w:rFonts w:hint="eastAsia"/>
          <w:sz w:val="24"/>
        </w:rPr>
        <w:t xml:space="preserve">　</w:t>
      </w:r>
      <w:r>
        <w:rPr>
          <w:rFonts w:hint="eastAsia"/>
          <w:sz w:val="24"/>
        </w:rPr>
        <w:t>明）</w:t>
      </w:r>
    </w:p>
    <w:p w:rsidR="006A456D" w:rsidRDefault="006A456D">
      <w:pPr>
        <w:rPr>
          <w:sz w:val="24"/>
        </w:rPr>
      </w:pPr>
      <w:r>
        <w:rPr>
          <w:rFonts w:hint="eastAsia"/>
          <w:sz w:val="24"/>
        </w:rPr>
        <w:t xml:space="preserve">　</w:t>
      </w:r>
    </w:p>
    <w:p w:rsidR="006A456D" w:rsidRDefault="006A456D">
      <w:pPr>
        <w:rPr>
          <w:sz w:val="24"/>
        </w:rPr>
      </w:pPr>
      <w:r>
        <w:rPr>
          <w:rFonts w:hint="eastAsia"/>
          <w:sz w:val="24"/>
        </w:rPr>
        <w:t xml:space="preserve">　</w:t>
      </w:r>
      <w:r w:rsidR="004A5948">
        <w:rPr>
          <w:rFonts w:hint="eastAsia"/>
          <w:sz w:val="24"/>
        </w:rPr>
        <w:t>2014</w:t>
      </w:r>
      <w:r w:rsidR="004A5948">
        <w:rPr>
          <w:rFonts w:hint="eastAsia"/>
          <w:sz w:val="24"/>
        </w:rPr>
        <w:t>年</w:t>
      </w:r>
      <w:r w:rsidR="004A5948">
        <w:rPr>
          <w:rFonts w:hint="eastAsia"/>
          <w:sz w:val="24"/>
        </w:rPr>
        <w:t>10</w:t>
      </w:r>
      <w:r w:rsidR="004A5948">
        <w:rPr>
          <w:rFonts w:hint="eastAsia"/>
          <w:sz w:val="24"/>
        </w:rPr>
        <w:t>月に公表された</w:t>
      </w:r>
      <w:r>
        <w:rPr>
          <w:rFonts w:hint="eastAsia"/>
          <w:sz w:val="24"/>
        </w:rPr>
        <w:t>気候変動に関する政府間パネル（</w:t>
      </w:r>
      <w:r>
        <w:rPr>
          <w:rFonts w:hint="eastAsia"/>
          <w:sz w:val="24"/>
        </w:rPr>
        <w:t>IPCC</w:t>
      </w:r>
      <w:r>
        <w:rPr>
          <w:rFonts w:hint="eastAsia"/>
          <w:sz w:val="24"/>
        </w:rPr>
        <w:t>）の第５次評価報告書では、</w:t>
      </w:r>
      <w:r w:rsidR="00684E11">
        <w:rPr>
          <w:rFonts w:hint="eastAsia"/>
          <w:sz w:val="24"/>
        </w:rPr>
        <w:t>温室効果ガスの削減を進めたとしても、</w:t>
      </w:r>
      <w:r w:rsidR="007430BA">
        <w:rPr>
          <w:rFonts w:hint="eastAsia"/>
          <w:sz w:val="24"/>
        </w:rPr>
        <w:t>今後、</w:t>
      </w:r>
      <w:r>
        <w:rPr>
          <w:rFonts w:hint="eastAsia"/>
          <w:sz w:val="24"/>
        </w:rPr>
        <w:t>世界の平均気温は上昇し、</w:t>
      </w:r>
      <w:r>
        <w:rPr>
          <w:rFonts w:hint="eastAsia"/>
          <w:sz w:val="24"/>
        </w:rPr>
        <w:t>21</w:t>
      </w:r>
      <w:r>
        <w:rPr>
          <w:rFonts w:hint="eastAsia"/>
          <w:sz w:val="24"/>
        </w:rPr>
        <w:t>世紀末に向けて気候変動の影響のリスクが高くなると予測</w:t>
      </w:r>
      <w:r w:rsidR="004A5948">
        <w:rPr>
          <w:rFonts w:hint="eastAsia"/>
          <w:sz w:val="24"/>
        </w:rPr>
        <w:t>し</w:t>
      </w:r>
      <w:r>
        <w:rPr>
          <w:rFonts w:hint="eastAsia"/>
          <w:sz w:val="24"/>
        </w:rPr>
        <w:t>ています。</w:t>
      </w:r>
      <w:r w:rsidR="00974343">
        <w:rPr>
          <w:rFonts w:hint="eastAsia"/>
          <w:sz w:val="24"/>
        </w:rPr>
        <w:t>このため、温室効果ガスの排出抑制等を行う「緩和」だけでなく、すでに現れている影響や中長期的に避けられない影響を軽減する「適応」を進めることが求められています。</w:t>
      </w:r>
    </w:p>
    <w:p w:rsidR="00D4463A" w:rsidRDefault="00D4463A">
      <w:pPr>
        <w:rPr>
          <w:sz w:val="24"/>
        </w:rPr>
      </w:pPr>
      <w:r>
        <w:rPr>
          <w:rFonts w:hint="eastAsia"/>
          <w:sz w:val="24"/>
        </w:rPr>
        <w:t xml:space="preserve">　国においては、</w:t>
      </w:r>
      <w:r>
        <w:rPr>
          <w:rFonts w:hint="eastAsia"/>
          <w:sz w:val="24"/>
        </w:rPr>
        <w:t>2015</w:t>
      </w:r>
      <w:r>
        <w:rPr>
          <w:rFonts w:hint="eastAsia"/>
          <w:sz w:val="24"/>
        </w:rPr>
        <w:t>年</w:t>
      </w:r>
      <w:r>
        <w:rPr>
          <w:rFonts w:hint="eastAsia"/>
          <w:sz w:val="24"/>
        </w:rPr>
        <w:t>11</w:t>
      </w:r>
      <w:r>
        <w:rPr>
          <w:rFonts w:hint="eastAsia"/>
          <w:sz w:val="24"/>
        </w:rPr>
        <w:t>月に、気候変動による様々な影響に対し、目指すべき社会の姿等の基本的な方針、基本</w:t>
      </w:r>
      <w:r w:rsidR="00235F9C">
        <w:rPr>
          <w:rFonts w:hint="eastAsia"/>
          <w:sz w:val="24"/>
        </w:rPr>
        <w:t>的な進め方、分野別施策の基本的方向、基盤的・国際的施策を定めた</w:t>
      </w:r>
      <w:r w:rsidR="007101DA">
        <w:rPr>
          <w:rFonts w:hint="eastAsia"/>
          <w:sz w:val="24"/>
        </w:rPr>
        <w:t>「</w:t>
      </w:r>
      <w:r>
        <w:rPr>
          <w:rFonts w:hint="eastAsia"/>
          <w:sz w:val="24"/>
        </w:rPr>
        <w:t>気候変動の影響への適応計画</w:t>
      </w:r>
      <w:r w:rsidR="007101DA">
        <w:rPr>
          <w:rFonts w:hint="eastAsia"/>
          <w:sz w:val="24"/>
        </w:rPr>
        <w:t>」</w:t>
      </w:r>
      <w:r>
        <w:rPr>
          <w:rFonts w:hint="eastAsia"/>
          <w:sz w:val="24"/>
        </w:rPr>
        <w:t>を策定しました。</w:t>
      </w:r>
      <w:r w:rsidR="007101DA">
        <w:rPr>
          <w:rFonts w:hint="eastAsia"/>
          <w:sz w:val="24"/>
        </w:rPr>
        <w:t>また、「気候変動枠組条約第</w:t>
      </w:r>
      <w:r w:rsidR="007101DA">
        <w:rPr>
          <w:rFonts w:hint="eastAsia"/>
          <w:sz w:val="24"/>
        </w:rPr>
        <w:t>21</w:t>
      </w:r>
      <w:r w:rsidR="007101DA">
        <w:rPr>
          <w:rFonts w:hint="eastAsia"/>
          <w:sz w:val="24"/>
        </w:rPr>
        <w:t>回締</w:t>
      </w:r>
      <w:r w:rsidR="00CF09C5">
        <w:rPr>
          <w:rFonts w:hint="eastAsia"/>
          <w:sz w:val="24"/>
        </w:rPr>
        <w:t>約</w:t>
      </w:r>
      <w:r w:rsidR="007101DA">
        <w:rPr>
          <w:rFonts w:hint="eastAsia"/>
          <w:sz w:val="24"/>
        </w:rPr>
        <w:t>国会議」</w:t>
      </w:r>
      <w:r w:rsidR="00376CE6">
        <w:rPr>
          <w:rFonts w:hint="eastAsia"/>
          <w:sz w:val="24"/>
        </w:rPr>
        <w:t>（</w:t>
      </w:r>
      <w:r w:rsidR="00376CE6">
        <w:rPr>
          <w:rFonts w:hint="eastAsia"/>
          <w:sz w:val="24"/>
        </w:rPr>
        <w:t>COP21</w:t>
      </w:r>
      <w:r w:rsidR="00376CE6">
        <w:rPr>
          <w:rFonts w:hint="eastAsia"/>
          <w:sz w:val="24"/>
        </w:rPr>
        <w:t>）</w:t>
      </w:r>
      <w:r w:rsidR="007101DA">
        <w:rPr>
          <w:rFonts w:hint="eastAsia"/>
          <w:sz w:val="24"/>
        </w:rPr>
        <w:t>において、気候変動に関する「パリ協定」が</w:t>
      </w:r>
      <w:r w:rsidR="007101DA">
        <w:rPr>
          <w:rFonts w:hint="eastAsia"/>
          <w:sz w:val="24"/>
        </w:rPr>
        <w:t>2015</w:t>
      </w:r>
      <w:r w:rsidR="007101DA">
        <w:rPr>
          <w:rFonts w:hint="eastAsia"/>
          <w:sz w:val="24"/>
        </w:rPr>
        <w:t>年</w:t>
      </w:r>
      <w:r w:rsidR="007101DA">
        <w:rPr>
          <w:rFonts w:hint="eastAsia"/>
          <w:sz w:val="24"/>
        </w:rPr>
        <w:t>12</w:t>
      </w:r>
      <w:r w:rsidR="007101DA">
        <w:rPr>
          <w:rFonts w:hint="eastAsia"/>
          <w:sz w:val="24"/>
        </w:rPr>
        <w:t>月に採択され、適応の</w:t>
      </w:r>
      <w:r w:rsidR="00F41959">
        <w:rPr>
          <w:rFonts w:hint="eastAsia"/>
          <w:sz w:val="24"/>
        </w:rPr>
        <w:t>長期</w:t>
      </w:r>
      <w:r w:rsidR="007101DA">
        <w:rPr>
          <w:rFonts w:hint="eastAsia"/>
          <w:sz w:val="24"/>
        </w:rPr>
        <w:t>目標の設定及び各国の適応計画プロセスと行動の実施が位置づけられました。</w:t>
      </w:r>
      <w:r w:rsidR="00376CE6">
        <w:rPr>
          <w:rFonts w:hint="eastAsia"/>
          <w:sz w:val="24"/>
        </w:rPr>
        <w:t>このパリ協定は、その発効要件を満たし、</w:t>
      </w:r>
      <w:r w:rsidR="00376CE6">
        <w:rPr>
          <w:rFonts w:hint="eastAsia"/>
          <w:sz w:val="24"/>
        </w:rPr>
        <w:t>2016</w:t>
      </w:r>
      <w:r w:rsidR="00376CE6">
        <w:rPr>
          <w:rFonts w:hint="eastAsia"/>
          <w:sz w:val="24"/>
        </w:rPr>
        <w:t>年</w:t>
      </w:r>
      <w:r w:rsidR="00376CE6">
        <w:rPr>
          <w:rFonts w:hint="eastAsia"/>
          <w:sz w:val="24"/>
        </w:rPr>
        <w:t>11</w:t>
      </w:r>
      <w:r w:rsidR="00376CE6">
        <w:rPr>
          <w:rFonts w:hint="eastAsia"/>
          <w:sz w:val="24"/>
        </w:rPr>
        <w:t>月４日に発効しています。</w:t>
      </w:r>
    </w:p>
    <w:p w:rsidR="00F41959" w:rsidRDefault="006A456D" w:rsidP="00CF09C5">
      <w:pPr>
        <w:ind w:firstLineChars="100" w:firstLine="240"/>
        <w:rPr>
          <w:sz w:val="24"/>
        </w:rPr>
      </w:pPr>
      <w:r>
        <w:rPr>
          <w:rFonts w:hint="eastAsia"/>
          <w:sz w:val="24"/>
        </w:rPr>
        <w:t>本府において</w:t>
      </w:r>
      <w:r w:rsidR="00235F9C">
        <w:rPr>
          <w:rFonts w:hint="eastAsia"/>
          <w:sz w:val="24"/>
        </w:rPr>
        <w:t>は</w:t>
      </w:r>
      <w:r>
        <w:rPr>
          <w:rFonts w:hint="eastAsia"/>
          <w:sz w:val="24"/>
        </w:rPr>
        <w:t>、</w:t>
      </w:r>
      <w:r>
        <w:rPr>
          <w:rFonts w:hint="eastAsia"/>
          <w:sz w:val="24"/>
        </w:rPr>
        <w:t>2015</w:t>
      </w:r>
      <w:r>
        <w:rPr>
          <w:rFonts w:hint="eastAsia"/>
          <w:sz w:val="24"/>
        </w:rPr>
        <w:t>年３月に</w:t>
      </w:r>
      <w:r w:rsidR="007430BA">
        <w:rPr>
          <w:rFonts w:hint="eastAsia"/>
          <w:sz w:val="24"/>
        </w:rPr>
        <w:t>策定した「</w:t>
      </w:r>
      <w:r>
        <w:rPr>
          <w:rFonts w:hint="eastAsia"/>
          <w:sz w:val="24"/>
        </w:rPr>
        <w:t>大阪府地球温暖化対策実行計画（区域施策編）</w:t>
      </w:r>
      <w:r w:rsidR="007430BA">
        <w:rPr>
          <w:rFonts w:hint="eastAsia"/>
          <w:sz w:val="24"/>
        </w:rPr>
        <w:t>」</w:t>
      </w:r>
      <w:r w:rsidR="00C80BFB">
        <w:rPr>
          <w:rFonts w:hint="eastAsia"/>
          <w:sz w:val="24"/>
        </w:rPr>
        <w:t>（以下、「実行計画」）</w:t>
      </w:r>
      <w:r w:rsidR="00235F9C">
        <w:rPr>
          <w:rFonts w:hint="eastAsia"/>
          <w:sz w:val="24"/>
        </w:rPr>
        <w:t>で、</w:t>
      </w:r>
      <w:r w:rsidR="00806822">
        <w:rPr>
          <w:rFonts w:hint="eastAsia"/>
          <w:sz w:val="24"/>
        </w:rPr>
        <w:t>地球温暖化による府域への影響把握、影響を軽減するための各種対策の検討と調査研究</w:t>
      </w:r>
      <w:r w:rsidR="00C80BFB">
        <w:rPr>
          <w:rFonts w:hint="eastAsia"/>
          <w:sz w:val="24"/>
        </w:rPr>
        <w:t>を内容とした「適応策の推進」の項を国に先立ち追加したところですが、</w:t>
      </w:r>
      <w:r w:rsidR="00376CE6" w:rsidRPr="00376CE6">
        <w:rPr>
          <w:rFonts w:hint="eastAsia"/>
          <w:sz w:val="24"/>
        </w:rPr>
        <w:t>社会環境や自然環境への気候変動の影響リスクが増大</w:t>
      </w:r>
      <w:r w:rsidR="003E5BBA">
        <w:rPr>
          <w:rFonts w:hint="eastAsia"/>
          <w:sz w:val="24"/>
        </w:rPr>
        <w:t>す</w:t>
      </w:r>
      <w:r w:rsidR="00376CE6" w:rsidRPr="00376CE6">
        <w:rPr>
          <w:rFonts w:hint="eastAsia"/>
          <w:sz w:val="24"/>
        </w:rPr>
        <w:t>る中、</w:t>
      </w:r>
      <w:r w:rsidR="003611A1">
        <w:rPr>
          <w:rFonts w:hint="eastAsia"/>
          <w:sz w:val="24"/>
        </w:rPr>
        <w:t>着実な</w:t>
      </w:r>
      <w:r w:rsidR="00F56C68">
        <w:rPr>
          <w:rFonts w:hint="eastAsia"/>
          <w:sz w:val="24"/>
        </w:rPr>
        <w:t>「適応策」</w:t>
      </w:r>
      <w:r w:rsidR="003611A1">
        <w:rPr>
          <w:rFonts w:hint="eastAsia"/>
          <w:sz w:val="24"/>
        </w:rPr>
        <w:t>の推進</w:t>
      </w:r>
      <w:r w:rsidR="00C80BFB">
        <w:rPr>
          <w:rFonts w:hint="eastAsia"/>
          <w:sz w:val="24"/>
        </w:rPr>
        <w:t>を図るため、実行計画</w:t>
      </w:r>
      <w:r w:rsidR="00CF09C5">
        <w:rPr>
          <w:rFonts w:hint="eastAsia"/>
          <w:sz w:val="24"/>
        </w:rPr>
        <w:t>に府としての「適応」の基本的方向性を盛り込む改定を行い、</w:t>
      </w:r>
      <w:r w:rsidR="00C80BFB">
        <w:rPr>
          <w:rFonts w:hint="eastAsia"/>
          <w:sz w:val="24"/>
        </w:rPr>
        <w:t>これを府の「適応計画」と位置づけることとしました</w:t>
      </w:r>
      <w:r w:rsidR="00F41959">
        <w:rPr>
          <w:rFonts w:hint="eastAsia"/>
          <w:sz w:val="24"/>
        </w:rPr>
        <w:t>。</w:t>
      </w:r>
    </w:p>
    <w:p w:rsidR="007101DA" w:rsidRDefault="00F41959" w:rsidP="006A456D">
      <w:pPr>
        <w:ind w:firstLineChars="100" w:firstLine="240"/>
        <w:rPr>
          <w:sz w:val="24"/>
        </w:rPr>
      </w:pPr>
      <w:r>
        <w:rPr>
          <w:rFonts w:hint="eastAsia"/>
          <w:sz w:val="24"/>
        </w:rPr>
        <w:t>このため、</w:t>
      </w:r>
      <w:r w:rsidR="00C80BFB">
        <w:rPr>
          <w:rFonts w:hint="eastAsia"/>
          <w:sz w:val="24"/>
        </w:rPr>
        <w:t>上述の国等の動きも鑑み、</w:t>
      </w:r>
      <w:r w:rsidR="001061DC">
        <w:rPr>
          <w:rFonts w:hint="eastAsia"/>
          <w:sz w:val="24"/>
        </w:rPr>
        <w:t>府域における気候変動</w:t>
      </w:r>
      <w:r w:rsidR="00CD6072">
        <w:rPr>
          <w:rFonts w:hint="eastAsia"/>
          <w:sz w:val="24"/>
        </w:rPr>
        <w:t>の影響</w:t>
      </w:r>
      <w:r w:rsidR="001061DC">
        <w:rPr>
          <w:rFonts w:hint="eastAsia"/>
          <w:sz w:val="24"/>
        </w:rPr>
        <w:t>への「適応」</w:t>
      </w:r>
      <w:r w:rsidR="007101DA">
        <w:rPr>
          <w:rFonts w:hint="eastAsia"/>
          <w:sz w:val="24"/>
        </w:rPr>
        <w:t>の基本的方向性について、貴審議会の意見を求めるものです。</w:t>
      </w:r>
    </w:p>
    <w:p w:rsidR="006A456D" w:rsidRPr="00CF09C5" w:rsidRDefault="006A456D">
      <w:pPr>
        <w:rPr>
          <w:sz w:val="24"/>
        </w:rPr>
      </w:pPr>
    </w:p>
    <w:sectPr w:rsidR="006A456D" w:rsidRPr="00CF09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22"/>
    <w:rsid w:val="000545AE"/>
    <w:rsid w:val="001061DC"/>
    <w:rsid w:val="00235F9C"/>
    <w:rsid w:val="003611A1"/>
    <w:rsid w:val="00376CE6"/>
    <w:rsid w:val="003E5BBA"/>
    <w:rsid w:val="004A5948"/>
    <w:rsid w:val="005B6D74"/>
    <w:rsid w:val="005D717C"/>
    <w:rsid w:val="00684E11"/>
    <w:rsid w:val="006A456D"/>
    <w:rsid w:val="007101DA"/>
    <w:rsid w:val="007430BA"/>
    <w:rsid w:val="00806822"/>
    <w:rsid w:val="00892F28"/>
    <w:rsid w:val="00974343"/>
    <w:rsid w:val="00991B19"/>
    <w:rsid w:val="009D6322"/>
    <w:rsid w:val="00BD34D6"/>
    <w:rsid w:val="00C80BFB"/>
    <w:rsid w:val="00CD6072"/>
    <w:rsid w:val="00CF09C5"/>
    <w:rsid w:val="00D4463A"/>
    <w:rsid w:val="00F322EE"/>
    <w:rsid w:val="00F41959"/>
    <w:rsid w:val="00F56C68"/>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59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59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93B5D-1554-4FE2-971A-6D3892943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6CC8C7-472B-42BA-BEC1-887312B552C8}">
  <ds:schemaRefs>
    <ds:schemaRef ds:uri="http://schemas.microsoft.com/sharepoint/v3/contenttype/forms"/>
  </ds:schemaRefs>
</ds:datastoreItem>
</file>

<file path=customXml/itemProps3.xml><?xml version="1.0" encoding="utf-8"?>
<ds:datastoreItem xmlns:ds="http://schemas.openxmlformats.org/officeDocument/2006/customXml" ds:itemID="{C07B086C-EC8D-4614-81A5-5ECE2B9647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梅本　敬史</dc:creator>
  <cp:lastModifiedBy>池田　桂周</cp:lastModifiedBy>
  <cp:revision>15</cp:revision>
  <cp:lastPrinted>2016-11-07T04:17:00Z</cp:lastPrinted>
  <dcterms:created xsi:type="dcterms:W3CDTF">2016-10-27T02:23:00Z</dcterms:created>
  <dcterms:modified xsi:type="dcterms:W3CDTF">2016-11-28T04:52:00Z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