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DC3CF" w14:textId="798B8844" w:rsidR="007B2598" w:rsidRDefault="00F06885" w:rsidP="007B2598">
      <w:r w:rsidRPr="00C85761">
        <w:rPr>
          <w:rFonts w:ascii="Meiryo UI" w:hAnsi="Meiryo UI" w:cs="Meiryo UI"/>
          <w:noProof/>
          <w:sz w:val="24"/>
          <w:szCs w:val="24"/>
        </w:rPr>
        <mc:AlternateContent>
          <mc:Choice Requires="wps">
            <w:drawing>
              <wp:anchor distT="0" distB="0" distL="114300" distR="114300" simplePos="0" relativeHeight="251663872" behindDoc="0" locked="0" layoutInCell="1" allowOverlap="1" wp14:anchorId="20D88E5C" wp14:editId="4F2A5D29">
                <wp:simplePos x="0" y="0"/>
                <wp:positionH relativeFrom="margin">
                  <wp:align>center</wp:align>
                </wp:positionH>
                <wp:positionV relativeFrom="margin">
                  <wp:align>top</wp:align>
                </wp:positionV>
                <wp:extent cx="6096000" cy="590550"/>
                <wp:effectExtent l="76200" t="38100" r="95250" b="114300"/>
                <wp:wrapNone/>
                <wp:docPr id="1" name="正方形/長方形 1"/>
                <wp:cNvGraphicFramePr/>
                <a:graphic xmlns:a="http://schemas.openxmlformats.org/drawingml/2006/main">
                  <a:graphicData uri="http://schemas.microsoft.com/office/word/2010/wordprocessingShape">
                    <wps:wsp>
                      <wps:cNvSpPr/>
                      <wps:spPr>
                        <a:xfrm>
                          <a:off x="0" y="0"/>
                          <a:ext cx="6096000" cy="590550"/>
                        </a:xfrm>
                        <a:prstGeom prst="rect">
                          <a:avLst/>
                        </a:prstGeom>
                        <a:solidFill>
                          <a:schemeClr val="tx2">
                            <a:lumMod val="75000"/>
                          </a:schemeClr>
                        </a:solidFill>
                        <a:ln>
                          <a:noFill/>
                        </a:ln>
                      </wps:spPr>
                      <wps:style>
                        <a:lnRef idx="0">
                          <a:schemeClr val="accent3"/>
                        </a:lnRef>
                        <a:fillRef idx="3">
                          <a:schemeClr val="accent3"/>
                        </a:fillRef>
                        <a:effectRef idx="3">
                          <a:schemeClr val="accent3"/>
                        </a:effectRef>
                        <a:fontRef idx="minor">
                          <a:schemeClr val="lt1"/>
                        </a:fontRef>
                      </wps:style>
                      <wps:txbx>
                        <w:txbxContent>
                          <w:p w14:paraId="39558F5F" w14:textId="58347B0C" w:rsidR="00B23186" w:rsidRPr="007B2598" w:rsidRDefault="00DF5638" w:rsidP="004579B7">
                            <w:pPr>
                              <w:spacing w:line="480" w:lineRule="exact"/>
                              <w:jc w:val="left"/>
                              <w:rPr>
                                <w:rFonts w:ascii="Meiryo UI" w:hAnsi="Meiryo UI" w:cs="Meiryo UI"/>
                                <w:sz w:val="36"/>
                                <w:szCs w:val="40"/>
                                <w14:textOutline w14:w="6350" w14:cap="flat" w14:cmpd="sng" w14:algn="ctr">
                                  <w14:noFill/>
                                  <w14:prstDash w14:val="solid"/>
                                  <w14:round/>
                                </w14:textOutline>
                              </w:rPr>
                            </w:pPr>
                            <w:r>
                              <w:rPr>
                                <w:rFonts w:ascii="Meiryo UI" w:hAnsi="Meiryo UI" w:cs="Meiryo UI" w:hint="eastAsia"/>
                                <w:sz w:val="36"/>
                                <w:szCs w:val="40"/>
                                <w14:textOutline w14:w="6350" w14:cap="flat" w14:cmpd="sng" w14:algn="ctr">
                                  <w14:noFill/>
                                  <w14:prstDash w14:val="solid"/>
                                  <w14:round/>
                                </w14:textOutline>
                              </w:rPr>
                              <w:t>Ⅳ</w:t>
                            </w:r>
                            <w:r w:rsidR="00296F52">
                              <w:rPr>
                                <w:rFonts w:ascii="Meiryo UI" w:hAnsi="Meiryo UI" w:cs="Meiryo UI" w:hint="eastAsia"/>
                                <w:sz w:val="36"/>
                                <w:szCs w:val="40"/>
                                <w14:textOutline w14:w="6350" w14:cap="flat" w14:cmpd="sng" w14:algn="ctr">
                                  <w14:noFill/>
                                  <w14:prstDash w14:val="solid"/>
                                  <w14:round/>
                                </w14:textOutline>
                              </w:rPr>
                              <w:t xml:space="preserve">　</w:t>
                            </w:r>
                            <w:r w:rsidR="009058B3">
                              <w:rPr>
                                <w:rFonts w:ascii="Meiryo UI" w:hAnsi="Meiryo UI" w:cs="Meiryo UI" w:hint="eastAsia"/>
                                <w:sz w:val="36"/>
                                <w:szCs w:val="40"/>
                                <w14:textOutline w14:w="6350" w14:cap="flat" w14:cmpd="sng" w14:algn="ctr">
                                  <w14:noFill/>
                                  <w14:prstDash w14:val="solid"/>
                                  <w14:round/>
                                </w14:textOutline>
                              </w:rPr>
                              <w:t>投資財政計画</w:t>
                            </w:r>
                            <w:r w:rsidR="0070106D">
                              <w:rPr>
                                <w:rFonts w:ascii="Meiryo UI" w:hAnsi="Meiryo UI" w:cs="Meiryo UI" w:hint="eastAsia"/>
                                <w:sz w:val="36"/>
                                <w:szCs w:val="40"/>
                                <w14:textOutline w14:w="6350" w14:cap="flat" w14:cmpd="sng" w14:algn="ctr">
                                  <w14:noFill/>
                                  <w14:prstDash w14:val="solid"/>
                                  <w14:round/>
                                </w14:textOutline>
                              </w:rPr>
                              <w:t>(収支計画)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88E5C" id="正方形/長方形 1" o:spid="_x0000_s1026" style="position:absolute;left:0;text-align:left;margin-left:0;margin-top:0;width:480pt;height:46.5pt;z-index:25166387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" fillcolor="#17365d [2415]" stroked="f">
                <v:shadow on="t" color="black" opacity="22937f" origin=",.5" offset="0,.63889mm"/>
                <v:textbox inset=",0,,0">
                  <w:txbxContent>
                    <w:p w14:paraId="39558F5F" w14:textId="58347B0C" w:rsidR="00B23186" w:rsidRPr="007B2598" w:rsidRDefault="00DF5638" w:rsidP="004579B7">
                      <w:pPr>
                        <w:spacing w:line="480" w:lineRule="exact"/>
                        <w:jc w:val="left"/>
                        <w:rPr>
                          <w:rFonts w:ascii="Meiryo UI" w:hAnsi="Meiryo UI" w:cs="Meiryo UI"/>
                          <w:sz w:val="36"/>
                          <w:szCs w:val="40"/>
                          <w14:textOutline w14:w="6350" w14:cap="flat" w14:cmpd="sng" w14:algn="ctr">
                            <w14:noFill/>
                            <w14:prstDash w14:val="solid"/>
                            <w14:round/>
                          </w14:textOutline>
                        </w:rPr>
                      </w:pPr>
                      <w:r>
                        <w:rPr>
                          <w:rFonts w:ascii="Meiryo UI" w:hAnsi="Meiryo UI" w:cs="Meiryo UI" w:hint="eastAsia"/>
                          <w:sz w:val="36"/>
                          <w:szCs w:val="40"/>
                          <w14:textOutline w14:w="6350" w14:cap="flat" w14:cmpd="sng" w14:algn="ctr">
                            <w14:noFill/>
                            <w14:prstDash w14:val="solid"/>
                            <w14:round/>
                          </w14:textOutline>
                        </w:rPr>
                        <w:t>Ⅳ</w:t>
                      </w:r>
                      <w:r w:rsidR="00296F52">
                        <w:rPr>
                          <w:rFonts w:ascii="Meiryo UI" w:hAnsi="Meiryo UI" w:cs="Meiryo UI" w:hint="eastAsia"/>
                          <w:sz w:val="36"/>
                          <w:szCs w:val="40"/>
                          <w14:textOutline w14:w="6350" w14:cap="flat" w14:cmpd="sng" w14:algn="ctr">
                            <w14:noFill/>
                            <w14:prstDash w14:val="solid"/>
                            <w14:round/>
                          </w14:textOutline>
                        </w:rPr>
                        <w:t xml:space="preserve">　</w:t>
                      </w:r>
                      <w:r w:rsidR="009058B3">
                        <w:rPr>
                          <w:rFonts w:ascii="Meiryo UI" w:hAnsi="Meiryo UI" w:cs="Meiryo UI" w:hint="eastAsia"/>
                          <w:sz w:val="36"/>
                          <w:szCs w:val="40"/>
                          <w14:textOutline w14:w="6350" w14:cap="flat" w14:cmpd="sng" w14:algn="ctr">
                            <w14:noFill/>
                            <w14:prstDash w14:val="solid"/>
                            <w14:round/>
                          </w14:textOutline>
                        </w:rPr>
                        <w:t>投資財政計画</w:t>
                      </w:r>
                      <w:r w:rsidR="0070106D">
                        <w:rPr>
                          <w:rFonts w:ascii="Meiryo UI" w:hAnsi="Meiryo UI" w:cs="Meiryo UI" w:hint="eastAsia"/>
                          <w:sz w:val="36"/>
                          <w:szCs w:val="40"/>
                          <w14:textOutline w14:w="6350" w14:cap="flat" w14:cmpd="sng" w14:algn="ctr">
                            <w14:noFill/>
                            <w14:prstDash w14:val="solid"/>
                            <w14:round/>
                          </w14:textOutline>
                        </w:rPr>
                        <w:t>(収支計画)</w:t>
                      </w:r>
                    </w:p>
                  </w:txbxContent>
                </v:textbox>
                <w10:wrap anchorx="margin" anchory="margin"/>
              </v:rect>
            </w:pict>
          </mc:Fallback>
        </mc:AlternateContent>
      </w:r>
    </w:p>
    <w:p w14:paraId="58EDD402" w14:textId="6E187B14" w:rsidR="007B2598" w:rsidRDefault="007B2598" w:rsidP="007B2598"/>
    <w:p w14:paraId="36EB3B93" w14:textId="22D00CEB" w:rsidR="007B2598" w:rsidRDefault="007B2598" w:rsidP="007B2598"/>
    <w:p w14:paraId="0135C83A" w14:textId="77E165F7" w:rsidR="00155BB3" w:rsidRDefault="00155BB3" w:rsidP="007B2598">
      <w:r w:rsidRPr="00582C3D">
        <w:rPr>
          <w:noProof/>
        </w:rPr>
        <mc:AlternateContent>
          <mc:Choice Requires="wps">
            <w:drawing>
              <wp:anchor distT="0" distB="0" distL="114300" distR="114300" simplePos="0" relativeHeight="251667968" behindDoc="0" locked="0" layoutInCell="1" allowOverlap="1" wp14:anchorId="758EE2ED" wp14:editId="484EE97D">
                <wp:simplePos x="0" y="0"/>
                <wp:positionH relativeFrom="column">
                  <wp:posOffset>3810</wp:posOffset>
                </wp:positionH>
                <wp:positionV relativeFrom="paragraph">
                  <wp:posOffset>34925</wp:posOffset>
                </wp:positionV>
                <wp:extent cx="6096000" cy="395605"/>
                <wp:effectExtent l="0" t="0" r="19050" b="23495"/>
                <wp:wrapNone/>
                <wp:docPr id="2" name="ホームベース 2"/>
                <wp:cNvGraphicFramePr/>
                <a:graphic xmlns:a="http://schemas.openxmlformats.org/drawingml/2006/main">
                  <a:graphicData uri="http://schemas.microsoft.com/office/word/2010/wordprocessingShape">
                    <wps:wsp>
                      <wps:cNvSpPr/>
                      <wps:spPr>
                        <a:xfrm>
                          <a:off x="0" y="0"/>
                          <a:ext cx="6096000" cy="395605"/>
                        </a:xfrm>
                        <a:prstGeom prst="homePlate">
                          <a:avLst/>
                        </a:prstGeom>
                        <a:ln>
                          <a:solidFill>
                            <a:srgbClr val="002060"/>
                          </a:solidFill>
                        </a:ln>
                      </wps:spPr>
                      <wps:style>
                        <a:lnRef idx="2">
                          <a:schemeClr val="accent2"/>
                        </a:lnRef>
                        <a:fillRef idx="1">
                          <a:schemeClr val="lt1"/>
                        </a:fillRef>
                        <a:effectRef idx="0">
                          <a:schemeClr val="accent2"/>
                        </a:effectRef>
                        <a:fontRef idx="minor">
                          <a:schemeClr val="dk1"/>
                        </a:fontRef>
                      </wps:style>
                      <wps:txbx>
                        <w:txbxContent>
                          <w:p w14:paraId="2F459439" w14:textId="4251B74E" w:rsidR="00155BB3" w:rsidRPr="00563516" w:rsidRDefault="009058B3" w:rsidP="00155BB3">
                            <w:pPr>
                              <w:rPr>
                                <w:sz w:val="32"/>
                                <w:szCs w:val="32"/>
                              </w:rPr>
                            </w:pPr>
                            <w:r>
                              <w:rPr>
                                <w:rFonts w:hint="eastAsia"/>
                                <w:sz w:val="32"/>
                                <w:szCs w:val="32"/>
                              </w:rPr>
                              <w:t>１</w:t>
                            </w:r>
                            <w:r>
                              <w:rPr>
                                <w:sz w:val="32"/>
                                <w:szCs w:val="32"/>
                              </w:rPr>
                              <w:t xml:space="preserve">　現在の</w:t>
                            </w:r>
                            <w:r w:rsidR="0041063C">
                              <w:rPr>
                                <w:rFonts w:hint="eastAsia"/>
                                <w:sz w:val="32"/>
                                <w:szCs w:val="32"/>
                              </w:rPr>
                              <w:t>経営</w:t>
                            </w:r>
                            <w:r w:rsidR="00E17D2D">
                              <w:rPr>
                                <w:sz w:val="32"/>
                                <w:szCs w:val="32"/>
                              </w:rPr>
                              <w:t>状況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EE2E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7" type="#_x0000_t15" style="position:absolute;left:0;text-align:left;margin-left:.3pt;margin-top:2.75pt;width:480pt;height:3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" adj="20899" fillcolor="white [3201]" strokecolor="#002060" strokeweight="2pt">
                <v:textbox inset=",0,,0">
                  <w:txbxContent>
                    <w:p w14:paraId="2F459439" w14:textId="4251B74E" w:rsidR="00155BB3" w:rsidRPr="00563516" w:rsidRDefault="009058B3" w:rsidP="00155BB3">
                      <w:pPr>
                        <w:rPr>
                          <w:sz w:val="32"/>
                          <w:szCs w:val="32"/>
                        </w:rPr>
                      </w:pPr>
                      <w:r>
                        <w:rPr>
                          <w:rFonts w:hint="eastAsia"/>
                          <w:sz w:val="32"/>
                          <w:szCs w:val="32"/>
                        </w:rPr>
                        <w:t>１</w:t>
                      </w:r>
                      <w:r>
                        <w:rPr>
                          <w:sz w:val="32"/>
                          <w:szCs w:val="32"/>
                        </w:rPr>
                        <w:t xml:space="preserve">　現在の</w:t>
                      </w:r>
                      <w:r w:rsidR="0041063C">
                        <w:rPr>
                          <w:rFonts w:hint="eastAsia"/>
                          <w:sz w:val="32"/>
                          <w:szCs w:val="32"/>
                        </w:rPr>
                        <w:t>経営</w:t>
                      </w:r>
                      <w:r w:rsidR="00E17D2D">
                        <w:rPr>
                          <w:sz w:val="32"/>
                          <w:szCs w:val="32"/>
                        </w:rPr>
                        <w:t>状況</w:t>
                      </w:r>
                    </w:p>
                  </w:txbxContent>
                </v:textbox>
              </v:shape>
            </w:pict>
          </mc:Fallback>
        </mc:AlternateContent>
      </w:r>
    </w:p>
    <w:p w14:paraId="074F0CED" w14:textId="4EFF98E5" w:rsidR="00155BB3" w:rsidRDefault="00C94C27" w:rsidP="007B2598">
      <w:r w:rsidRPr="00C94C27">
        <w:rPr>
          <w:noProof/>
        </w:rPr>
        <mc:AlternateContent>
          <mc:Choice Requires="wps">
            <w:drawing>
              <wp:anchor distT="0" distB="0" distL="114300" distR="114300" simplePos="0" relativeHeight="251919360" behindDoc="0" locked="0" layoutInCell="1" allowOverlap="1" wp14:anchorId="6EA5C4DF" wp14:editId="20C6158F">
                <wp:simplePos x="0" y="0"/>
                <wp:positionH relativeFrom="margin">
                  <wp:align>right</wp:align>
                </wp:positionH>
                <wp:positionV relativeFrom="paragraph">
                  <wp:posOffset>252198</wp:posOffset>
                </wp:positionV>
                <wp:extent cx="6086475" cy="946298"/>
                <wp:effectExtent l="0" t="0" r="28575" b="25400"/>
                <wp:wrapNone/>
                <wp:docPr id="12" name="テキスト ボックス 9">
                  <a:extLst xmlns:a="http://schemas.openxmlformats.org/drawingml/2006/main">
                    <a:ext uri="{FF2B5EF4-FFF2-40B4-BE49-F238E27FC236}">
                      <a16:creationId xmlns:a16="http://schemas.microsoft.com/office/drawing/2014/main" id="{7329C642-38B6-4777-B39F-DA4D2652747F}"/>
                    </a:ext>
                  </a:extLst>
                </wp:docPr>
                <wp:cNvGraphicFramePr/>
                <a:graphic xmlns:a="http://schemas.openxmlformats.org/drawingml/2006/main">
                  <a:graphicData uri="http://schemas.microsoft.com/office/word/2010/wordprocessingShape">
                    <wps:wsp>
                      <wps:cNvSpPr txBox="1"/>
                      <wps:spPr>
                        <a:xfrm>
                          <a:off x="0" y="0"/>
                          <a:ext cx="6086475" cy="946298"/>
                        </a:xfrm>
                        <a:prstGeom prst="rect">
                          <a:avLst/>
                        </a:prstGeom>
                        <a:noFill/>
                        <a:ln>
                          <a:solidFill>
                            <a:sysClr val="windowText" lastClr="000000"/>
                          </a:solidFill>
                        </a:ln>
                      </wps:spPr>
                      <wps:txbx>
                        <w:txbxContent>
                          <w:p w14:paraId="7C3FD337" w14:textId="1BA35C72" w:rsidR="00C94C27" w:rsidRPr="00894D1A" w:rsidRDefault="00531284" w:rsidP="00894D1A">
                            <w:pPr>
                              <w:ind w:firstLineChars="100" w:firstLine="240"/>
                              <w:rPr>
                                <w:rFonts w:ascii="Meiryo UI" w:hAnsi="Meiryo UI"/>
                                <w:sz w:val="24"/>
                              </w:rPr>
                            </w:pPr>
                            <w:r>
                              <w:rPr>
                                <w:rFonts w:ascii="Meiryo UI" w:hAnsi="Meiryo UI" w:hint="eastAsia"/>
                                <w:sz w:val="24"/>
                              </w:rPr>
                              <w:t>減価償却費の減少により、2019</w:t>
                            </w:r>
                            <w:r w:rsidR="00C94C27" w:rsidRPr="00894D1A">
                              <w:rPr>
                                <w:rFonts w:ascii="Meiryo UI" w:hAnsi="Meiryo UI" w:hint="eastAsia"/>
                                <w:sz w:val="24"/>
                              </w:rPr>
                              <w:t>年度決算で初めて黒字となって以降、２年連続黒字を計上しており、累積欠損金(137億円)</w:t>
                            </w:r>
                            <w:r w:rsidR="00750D09" w:rsidRPr="00894D1A">
                              <w:rPr>
                                <w:rFonts w:ascii="Meiryo UI" w:hAnsi="Meiryo UI" w:hint="eastAsia"/>
                                <w:sz w:val="24"/>
                              </w:rPr>
                              <w:t>はある</w:t>
                            </w:r>
                            <w:r w:rsidR="00C94C27" w:rsidRPr="00894D1A">
                              <w:rPr>
                                <w:rFonts w:ascii="Meiryo UI" w:hAnsi="Meiryo UI" w:hint="eastAsia"/>
                                <w:sz w:val="24"/>
                              </w:rPr>
                              <w:t>が、</w:t>
                            </w:r>
                            <w:r w:rsidR="0029175F">
                              <w:rPr>
                                <w:rFonts w:ascii="Meiryo UI" w:hAnsi="Meiryo UI" w:hint="eastAsia"/>
                                <w:sz w:val="24"/>
                              </w:rPr>
                              <w:t>資金状況も含め、経営状況に</w:t>
                            </w:r>
                            <w:r w:rsidR="00750D09" w:rsidRPr="00894D1A">
                              <w:rPr>
                                <w:rFonts w:ascii="Meiryo UI" w:hAnsi="Meiryo UI" w:hint="eastAsia"/>
                                <w:sz w:val="24"/>
                              </w:rPr>
                              <w:t>特段</w:t>
                            </w:r>
                            <w:r w:rsidR="0029175F">
                              <w:rPr>
                                <w:rFonts w:ascii="Meiryo UI" w:hAnsi="Meiryo UI" w:hint="eastAsia"/>
                                <w:sz w:val="24"/>
                              </w:rPr>
                              <w:t>の</w:t>
                            </w:r>
                            <w:r w:rsidR="00750D09" w:rsidRPr="00894D1A">
                              <w:rPr>
                                <w:rFonts w:ascii="Meiryo UI" w:hAnsi="Meiryo UI" w:hint="eastAsia"/>
                                <w:sz w:val="24"/>
                              </w:rPr>
                              <w:t>問題はない</w:t>
                            </w:r>
                            <w:r w:rsidR="00C94C27" w:rsidRPr="00894D1A">
                              <w:rPr>
                                <w:rFonts w:ascii="Meiryo UI" w:hAnsi="Meiryo UI" w:hint="eastAsia"/>
                                <w:sz w:val="24"/>
                              </w:rPr>
                              <w:t>。</w:t>
                            </w:r>
                          </w:p>
                          <w:p w14:paraId="16E5DC5B" w14:textId="35FFD82B" w:rsidR="00C94C27" w:rsidRPr="00894D1A" w:rsidRDefault="00C94C27" w:rsidP="00C94C27">
                            <w:pPr>
                              <w:ind w:firstLineChars="100" w:firstLine="240"/>
                              <w:rPr>
                                <w:rFonts w:ascii="Meiryo UI" w:hAnsi="Meiryo UI"/>
                                <w:sz w:val="24"/>
                              </w:rPr>
                            </w:pPr>
                            <w:r w:rsidRPr="00894D1A">
                              <w:rPr>
                                <w:rFonts w:ascii="Meiryo UI" w:hAnsi="Meiryo UI" w:cs="Times New Roman" w:hint="eastAsia"/>
                                <w:color w:val="000000" w:themeColor="text1"/>
                                <w:sz w:val="24"/>
                                <w:szCs w:val="32"/>
                              </w:rPr>
                              <w:t>また</w:t>
                            </w:r>
                            <w:r w:rsidRPr="00894D1A">
                              <w:rPr>
                                <w:rFonts w:ascii="Meiryo UI" w:hAnsi="Meiryo UI" w:cs="Times New Roman"/>
                                <w:color w:val="000000" w:themeColor="text1"/>
                                <w:sz w:val="24"/>
                                <w:szCs w:val="32"/>
                              </w:rPr>
                              <w:t>、</w:t>
                            </w:r>
                            <w:r w:rsidRPr="00894D1A">
                              <w:rPr>
                                <w:rFonts w:ascii="Meiryo UI" w:hAnsi="Meiryo UI" w:hint="eastAsia"/>
                                <w:sz w:val="24"/>
                              </w:rPr>
                              <w:t>経営状況の</w:t>
                            </w:r>
                            <w:r w:rsidR="00750D09" w:rsidRPr="00894D1A">
                              <w:rPr>
                                <w:rFonts w:ascii="Meiryo UI" w:hAnsi="Meiryo UI" w:hint="eastAsia"/>
                                <w:sz w:val="24"/>
                              </w:rPr>
                              <w:t>参考となる各種経営指標も以下のとおり、良好又は良い傾向にある</w:t>
                            </w:r>
                            <w:r w:rsidRPr="00894D1A">
                              <w:rPr>
                                <w:rFonts w:ascii="Meiryo UI" w:hAnsi="Meiryo UI" w:hint="eastAsia"/>
                                <w:sz w:val="24"/>
                              </w:rPr>
                              <w:t>。</w:t>
                            </w:r>
                          </w:p>
                          <w:p w14:paraId="64117BE2" w14:textId="245EC81D" w:rsidR="00C94C27" w:rsidRPr="00C94C27" w:rsidRDefault="00C94C27" w:rsidP="00C94C27">
                            <w:pPr>
                              <w:pStyle w:val="Web"/>
                              <w:spacing w:before="0" w:beforeAutospacing="0" w:after="0" w:afterAutospacing="0"/>
                              <w:rPr>
                                <w:rFonts w:asciiTheme="minorHAnsi" w:eastAsia="HG丸ｺﾞｼｯｸM-PRO" w:hAnsi="HG丸ｺﾞｼｯｸM-PRO" w:cs="Times New Roman"/>
                                <w:color w:val="000000" w:themeColor="text1"/>
                                <w:kern w:val="2"/>
                                <w:szCs w:val="3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EA5C4DF" id="_x0000_t202" coordsize="21600,21600" o:spt="202" path="m,l,21600r21600,l21600,xe">
                <v:stroke joinstyle="miter"/>
                <v:path gradientshapeok="t" o:connecttype="rect"/>
              </v:shapetype>
              <v:shape id="テキスト ボックス 9" o:spid="_x0000_s1028" type="#_x0000_t202" style="position:absolute;left:0;text-align:left;margin-left:428.05pt;margin-top:19.85pt;width:479.25pt;height:74.5pt;z-index:251919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" filled="f" strokecolor="windowText">
                <v:textbox>
                  <w:txbxContent>
                    <w:p w14:paraId="7C3FD337" w14:textId="1BA35C72" w:rsidR="00C94C27" w:rsidRPr="00894D1A" w:rsidRDefault="00531284" w:rsidP="00894D1A">
                      <w:pPr>
                        <w:ind w:firstLineChars="100" w:firstLine="240"/>
                        <w:rPr>
                          <w:rFonts w:ascii="Meiryo UI" w:hAnsi="Meiryo UI"/>
                          <w:sz w:val="24"/>
                        </w:rPr>
                      </w:pPr>
                      <w:r>
                        <w:rPr>
                          <w:rFonts w:ascii="Meiryo UI" w:hAnsi="Meiryo UI" w:hint="eastAsia"/>
                          <w:sz w:val="24"/>
                        </w:rPr>
                        <w:t>減価償却費の減少により、2019</w:t>
                      </w:r>
                      <w:r w:rsidR="00C94C27" w:rsidRPr="00894D1A">
                        <w:rPr>
                          <w:rFonts w:ascii="Meiryo UI" w:hAnsi="Meiryo UI" w:hint="eastAsia"/>
                          <w:sz w:val="24"/>
                        </w:rPr>
                        <w:t>年度決算で初めて黒字となって以降、２年連続黒字を計上しており、累積欠損金(137億円)</w:t>
                      </w:r>
                      <w:r w:rsidR="00750D09" w:rsidRPr="00894D1A">
                        <w:rPr>
                          <w:rFonts w:ascii="Meiryo UI" w:hAnsi="Meiryo UI" w:hint="eastAsia"/>
                          <w:sz w:val="24"/>
                        </w:rPr>
                        <w:t>はある</w:t>
                      </w:r>
                      <w:r w:rsidR="00C94C27" w:rsidRPr="00894D1A">
                        <w:rPr>
                          <w:rFonts w:ascii="Meiryo UI" w:hAnsi="Meiryo UI" w:hint="eastAsia"/>
                          <w:sz w:val="24"/>
                        </w:rPr>
                        <w:t>が、</w:t>
                      </w:r>
                      <w:r w:rsidR="0029175F">
                        <w:rPr>
                          <w:rFonts w:ascii="Meiryo UI" w:hAnsi="Meiryo UI" w:hint="eastAsia"/>
                          <w:sz w:val="24"/>
                        </w:rPr>
                        <w:t>資金状況も含め、経営状況に</w:t>
                      </w:r>
                      <w:r w:rsidR="00750D09" w:rsidRPr="00894D1A">
                        <w:rPr>
                          <w:rFonts w:ascii="Meiryo UI" w:hAnsi="Meiryo UI" w:hint="eastAsia"/>
                          <w:sz w:val="24"/>
                        </w:rPr>
                        <w:t>特段</w:t>
                      </w:r>
                      <w:r w:rsidR="0029175F">
                        <w:rPr>
                          <w:rFonts w:ascii="Meiryo UI" w:hAnsi="Meiryo UI" w:hint="eastAsia"/>
                          <w:sz w:val="24"/>
                        </w:rPr>
                        <w:t>の</w:t>
                      </w:r>
                      <w:r w:rsidR="00750D09" w:rsidRPr="00894D1A">
                        <w:rPr>
                          <w:rFonts w:ascii="Meiryo UI" w:hAnsi="Meiryo UI" w:hint="eastAsia"/>
                          <w:sz w:val="24"/>
                        </w:rPr>
                        <w:t>問題はない</w:t>
                      </w:r>
                      <w:r w:rsidR="00C94C27" w:rsidRPr="00894D1A">
                        <w:rPr>
                          <w:rFonts w:ascii="Meiryo UI" w:hAnsi="Meiryo UI" w:hint="eastAsia"/>
                          <w:sz w:val="24"/>
                        </w:rPr>
                        <w:t>。</w:t>
                      </w:r>
                    </w:p>
                    <w:p w14:paraId="16E5DC5B" w14:textId="35FFD82B" w:rsidR="00C94C27" w:rsidRPr="00894D1A" w:rsidRDefault="00C94C27" w:rsidP="00C94C27">
                      <w:pPr>
                        <w:ind w:firstLineChars="100" w:firstLine="240"/>
                        <w:rPr>
                          <w:rFonts w:ascii="Meiryo UI" w:hAnsi="Meiryo UI"/>
                          <w:sz w:val="24"/>
                        </w:rPr>
                      </w:pPr>
                      <w:r w:rsidRPr="00894D1A">
                        <w:rPr>
                          <w:rFonts w:ascii="Meiryo UI" w:hAnsi="Meiryo UI" w:cs="Times New Roman" w:hint="eastAsia"/>
                          <w:color w:val="000000" w:themeColor="text1"/>
                          <w:sz w:val="24"/>
                          <w:szCs w:val="32"/>
                        </w:rPr>
                        <w:t>また</w:t>
                      </w:r>
                      <w:r w:rsidRPr="00894D1A">
                        <w:rPr>
                          <w:rFonts w:ascii="Meiryo UI" w:hAnsi="Meiryo UI" w:cs="Times New Roman"/>
                          <w:color w:val="000000" w:themeColor="text1"/>
                          <w:sz w:val="24"/>
                          <w:szCs w:val="32"/>
                        </w:rPr>
                        <w:t>、</w:t>
                      </w:r>
                      <w:r w:rsidRPr="00894D1A">
                        <w:rPr>
                          <w:rFonts w:ascii="Meiryo UI" w:hAnsi="Meiryo UI" w:hint="eastAsia"/>
                          <w:sz w:val="24"/>
                        </w:rPr>
                        <w:t>経営状況の</w:t>
                      </w:r>
                      <w:r w:rsidR="00750D09" w:rsidRPr="00894D1A">
                        <w:rPr>
                          <w:rFonts w:ascii="Meiryo UI" w:hAnsi="Meiryo UI" w:hint="eastAsia"/>
                          <w:sz w:val="24"/>
                        </w:rPr>
                        <w:t>参考となる各種経営指標も以下のとおり、良好又は良い傾向にある</w:t>
                      </w:r>
                      <w:r w:rsidRPr="00894D1A">
                        <w:rPr>
                          <w:rFonts w:ascii="Meiryo UI" w:hAnsi="Meiryo UI" w:hint="eastAsia"/>
                          <w:sz w:val="24"/>
                        </w:rPr>
                        <w:t>。</w:t>
                      </w:r>
                    </w:p>
                    <w:p w14:paraId="64117BE2" w14:textId="245EC81D" w:rsidR="00C94C27" w:rsidRPr="00C94C27" w:rsidRDefault="00C94C27" w:rsidP="00C94C27">
                      <w:pPr>
                        <w:pStyle w:val="Web"/>
                        <w:spacing w:before="0" w:beforeAutospacing="0" w:after="0" w:afterAutospacing="0"/>
                        <w:rPr>
                          <w:rFonts w:asciiTheme="minorHAnsi" w:eastAsia="HG丸ｺﾞｼｯｸM-PRO" w:hAnsi="HG丸ｺﾞｼｯｸM-PRO" w:cs="Times New Roman"/>
                          <w:color w:val="000000" w:themeColor="text1"/>
                          <w:kern w:val="2"/>
                          <w:szCs w:val="32"/>
                        </w:rPr>
                      </w:pPr>
                    </w:p>
                  </w:txbxContent>
                </v:textbox>
                <w10:wrap anchorx="margin"/>
              </v:shape>
            </w:pict>
          </mc:Fallback>
        </mc:AlternateContent>
      </w:r>
    </w:p>
    <w:p w14:paraId="3D1932D4" w14:textId="06A2C0A5" w:rsidR="00C94C27" w:rsidRDefault="00C94C27" w:rsidP="00E17D2D">
      <w:pPr>
        <w:pStyle w:val="3"/>
        <w:ind w:leftChars="0" w:left="0"/>
        <w:rPr>
          <w:u w:val="none"/>
        </w:rPr>
      </w:pPr>
    </w:p>
    <w:p w14:paraId="7C9193D2" w14:textId="125D2831" w:rsidR="00C94C27" w:rsidRDefault="00C94C27" w:rsidP="00E17D2D">
      <w:pPr>
        <w:pStyle w:val="3"/>
        <w:ind w:leftChars="0" w:left="0"/>
        <w:rPr>
          <w:u w:val="none"/>
        </w:rPr>
      </w:pPr>
    </w:p>
    <w:p w14:paraId="6A154004" w14:textId="2D64AC6D" w:rsidR="00C94C27" w:rsidRDefault="00C94C27" w:rsidP="00E17D2D">
      <w:pPr>
        <w:pStyle w:val="3"/>
        <w:ind w:leftChars="0" w:left="0"/>
        <w:rPr>
          <w:u w:val="none"/>
        </w:rPr>
      </w:pPr>
    </w:p>
    <w:p w14:paraId="2A3287F4" w14:textId="0AB04072" w:rsidR="00C94C27" w:rsidRDefault="00C94C27" w:rsidP="00E17D2D">
      <w:pPr>
        <w:pStyle w:val="3"/>
        <w:ind w:leftChars="0" w:left="0"/>
        <w:rPr>
          <w:u w:val="none"/>
        </w:rPr>
      </w:pPr>
    </w:p>
    <w:p w14:paraId="1991F4CC" w14:textId="27C4FB63" w:rsidR="005F7481" w:rsidRPr="000D28EF" w:rsidRDefault="00DE7347" w:rsidP="000D28EF">
      <w:pPr>
        <w:pStyle w:val="3"/>
        <w:ind w:leftChars="0" w:left="0"/>
        <w:rPr>
          <w:u w:val="none"/>
        </w:rPr>
      </w:pPr>
      <w:r>
        <w:rPr>
          <w:rFonts w:hint="eastAsia"/>
          <w:noProof/>
          <w:u w:val="none"/>
        </w:rPr>
        <mc:AlternateContent>
          <mc:Choice Requires="wps">
            <w:drawing>
              <wp:anchor distT="0" distB="0" distL="114300" distR="114300" simplePos="0" relativeHeight="251655678" behindDoc="0" locked="0" layoutInCell="1" allowOverlap="1" wp14:anchorId="09097E93" wp14:editId="3B491C99">
                <wp:simplePos x="0" y="0"/>
                <wp:positionH relativeFrom="margin">
                  <wp:posOffset>5479685</wp:posOffset>
                </wp:positionH>
                <wp:positionV relativeFrom="paragraph">
                  <wp:posOffset>40559</wp:posOffset>
                </wp:positionV>
                <wp:extent cx="806893" cy="38209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06893" cy="382093"/>
                        </a:xfrm>
                        <a:prstGeom prst="rect">
                          <a:avLst/>
                        </a:prstGeom>
                        <a:solidFill>
                          <a:schemeClr val="lt1"/>
                        </a:solidFill>
                        <a:ln w="6350">
                          <a:noFill/>
                        </a:ln>
                      </wps:spPr>
                      <wps:txbx>
                        <w:txbxContent>
                          <w:p w14:paraId="245B7428" w14:textId="5F709C15" w:rsidR="00CF2586" w:rsidRDefault="00CF2586">
                            <w:r>
                              <w:rPr>
                                <w:rFonts w:hint="eastAsia"/>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97E93" id="テキスト ボックス 7" o:spid="_x0000_s1029" type="#_x0000_t202" style="position:absolute;margin-left:431.45pt;margin-top:3.2pt;width:63.55pt;height:30.1pt;z-index:2516556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" fillcolor="white [3201]" stroked="f" strokeweight=".5pt">
                <v:textbox>
                  <w:txbxContent>
                    <w:p w14:paraId="245B7428" w14:textId="5F709C15" w:rsidR="00CF2586" w:rsidRDefault="00CF2586">
                      <w:r>
                        <w:rPr>
                          <w:rFonts w:hint="eastAsia"/>
                        </w:rPr>
                        <w:t>（千円）</w:t>
                      </w:r>
                    </w:p>
                  </w:txbxContent>
                </v:textbox>
                <w10:wrap anchorx="margin"/>
              </v:shape>
            </w:pict>
          </mc:Fallback>
        </mc:AlternateContent>
      </w:r>
      <w:r w:rsidR="002160EF" w:rsidRPr="002160EF">
        <w:rPr>
          <w:rFonts w:hint="eastAsia"/>
          <w:u w:val="none"/>
        </w:rPr>
        <w:t>(１)</w:t>
      </w:r>
      <w:r w:rsidR="008E0EE3" w:rsidRPr="002160EF">
        <w:rPr>
          <w:rFonts w:hint="eastAsia"/>
          <w:u w:val="none"/>
        </w:rPr>
        <w:t xml:space="preserve">　</w:t>
      </w:r>
      <w:r w:rsidR="000D28EF" w:rsidRPr="000D28EF">
        <w:rPr>
          <w:rFonts w:hint="eastAsia"/>
          <w:u w:val="none"/>
        </w:rPr>
        <w:t>直近4年間の収支状況</w:t>
      </w:r>
      <w:r w:rsidR="008E0EE3" w:rsidRPr="002160EF">
        <w:rPr>
          <w:rFonts w:hint="eastAsia"/>
          <w:u w:val="none"/>
        </w:rPr>
        <w:t xml:space="preserve">　　　　　　　　　　　　　　　　　　　　　　　　　　　　　　　　　　　　　　　　　　</w:t>
      </w:r>
    </w:p>
    <w:p w14:paraId="736D0A4F" w14:textId="769E4AFB" w:rsidR="005F7481" w:rsidRDefault="001C1DBF" w:rsidP="000074B8">
      <w:pPr>
        <w:ind w:firstLineChars="100" w:firstLine="220"/>
      </w:pPr>
      <w:r w:rsidRPr="001C1DBF">
        <w:rPr>
          <w:noProof/>
        </w:rPr>
        <w:drawing>
          <wp:anchor distT="0" distB="0" distL="114300" distR="114300" simplePos="0" relativeHeight="251977728" behindDoc="0" locked="0" layoutInCell="1" allowOverlap="1" wp14:anchorId="6B75DFC2" wp14:editId="7EDAFF7B">
            <wp:simplePos x="0" y="0"/>
            <wp:positionH relativeFrom="column">
              <wp:posOffset>60960</wp:posOffset>
            </wp:positionH>
            <wp:positionV relativeFrom="paragraph">
              <wp:posOffset>143510</wp:posOffset>
            </wp:positionV>
            <wp:extent cx="6120765" cy="3192332"/>
            <wp:effectExtent l="0" t="0" r="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192332"/>
                    </a:xfrm>
                    <a:prstGeom prst="rect">
                      <a:avLst/>
                    </a:prstGeom>
                    <a:noFill/>
                    <a:ln>
                      <a:noFill/>
                    </a:ln>
                  </pic:spPr>
                </pic:pic>
              </a:graphicData>
            </a:graphic>
          </wp:anchor>
        </w:drawing>
      </w:r>
    </w:p>
    <w:p w14:paraId="39BBAA75" w14:textId="4E5038C2" w:rsidR="005F7481" w:rsidRDefault="005F7481" w:rsidP="000074B8">
      <w:pPr>
        <w:ind w:firstLineChars="100" w:firstLine="220"/>
      </w:pPr>
    </w:p>
    <w:p w14:paraId="2C484FA3" w14:textId="5C611655" w:rsidR="005F7481" w:rsidRDefault="005F7481" w:rsidP="000074B8">
      <w:pPr>
        <w:ind w:firstLineChars="100" w:firstLine="220"/>
      </w:pPr>
    </w:p>
    <w:p w14:paraId="15D59870" w14:textId="7A794FCD" w:rsidR="005F7481" w:rsidRDefault="005F7481" w:rsidP="000074B8">
      <w:pPr>
        <w:ind w:firstLineChars="100" w:firstLine="220"/>
      </w:pPr>
    </w:p>
    <w:p w14:paraId="6DF7D16D" w14:textId="72BB9A17" w:rsidR="008E0EE3" w:rsidRDefault="00836DA2" w:rsidP="00FD1C12">
      <w:r>
        <w:rPr>
          <w:rFonts w:hint="eastAsia"/>
        </w:rPr>
        <w:t xml:space="preserve">　</w:t>
      </w:r>
    </w:p>
    <w:p w14:paraId="21DFA570" w14:textId="0AD5352F" w:rsidR="0041063C" w:rsidRDefault="0041063C" w:rsidP="00FD1C12"/>
    <w:p w14:paraId="1E4E5F49" w14:textId="2EF3B935" w:rsidR="004277A6" w:rsidRDefault="004277A6" w:rsidP="00FD1C12"/>
    <w:p w14:paraId="395CCC95" w14:textId="7ABD70D8" w:rsidR="005F7481" w:rsidRDefault="005F7481" w:rsidP="00FD1C12"/>
    <w:p w14:paraId="40BC7533" w14:textId="77777777" w:rsidR="00BE7BFC" w:rsidRDefault="00BE7BFC" w:rsidP="004277A6">
      <w:pPr>
        <w:rPr>
          <w:rFonts w:ascii="Meiryo UI" w:hAnsi="Meiryo UI"/>
          <w:sz w:val="24"/>
        </w:rPr>
      </w:pPr>
    </w:p>
    <w:p w14:paraId="3AA2ACF7" w14:textId="77777777" w:rsidR="00BE7BFC" w:rsidRDefault="00BE7BFC" w:rsidP="004277A6">
      <w:pPr>
        <w:rPr>
          <w:rFonts w:ascii="Meiryo UI" w:hAnsi="Meiryo UI"/>
          <w:sz w:val="24"/>
        </w:rPr>
      </w:pPr>
    </w:p>
    <w:p w14:paraId="5602F2E8" w14:textId="553B90A5" w:rsidR="00BE7BFC" w:rsidRDefault="00BE7BFC" w:rsidP="004277A6">
      <w:pPr>
        <w:rPr>
          <w:rFonts w:ascii="Meiryo UI" w:hAnsi="Meiryo UI"/>
          <w:sz w:val="24"/>
        </w:rPr>
      </w:pPr>
    </w:p>
    <w:p w14:paraId="4F0867BA" w14:textId="0BC23632" w:rsidR="00BE7BFC" w:rsidRDefault="00BE7BFC" w:rsidP="004277A6">
      <w:pPr>
        <w:rPr>
          <w:rFonts w:ascii="Meiryo UI" w:hAnsi="Meiryo UI"/>
          <w:sz w:val="24"/>
        </w:rPr>
      </w:pPr>
    </w:p>
    <w:p w14:paraId="20B0CE6B" w14:textId="5E1D9925" w:rsidR="00BE7BFC" w:rsidRDefault="00BE7BFC" w:rsidP="004277A6">
      <w:pPr>
        <w:rPr>
          <w:rFonts w:ascii="Meiryo UI" w:hAnsi="Meiryo UI"/>
          <w:sz w:val="24"/>
        </w:rPr>
      </w:pPr>
    </w:p>
    <w:p w14:paraId="2261F811" w14:textId="5E39DAD9" w:rsidR="00BE7BFC" w:rsidRDefault="00BE7BFC" w:rsidP="004277A6">
      <w:pPr>
        <w:rPr>
          <w:rFonts w:ascii="Meiryo UI" w:hAnsi="Meiryo UI"/>
          <w:sz w:val="24"/>
        </w:rPr>
      </w:pPr>
    </w:p>
    <w:p w14:paraId="1303FA2E" w14:textId="48927253" w:rsidR="00BE7BFC" w:rsidRDefault="00BA1D5F" w:rsidP="004277A6">
      <w:pPr>
        <w:rPr>
          <w:rFonts w:ascii="Meiryo UI" w:hAnsi="Meiryo UI"/>
          <w:sz w:val="24"/>
        </w:rPr>
      </w:pPr>
      <w:r>
        <w:rPr>
          <w:rFonts w:hint="eastAsia"/>
          <w:noProof/>
        </w:rPr>
        <mc:AlternateContent>
          <mc:Choice Requires="wps">
            <w:drawing>
              <wp:anchor distT="0" distB="0" distL="114300" distR="114300" simplePos="0" relativeHeight="251945984" behindDoc="0" locked="0" layoutInCell="1" allowOverlap="1" wp14:anchorId="00DDBAA4" wp14:editId="1EEEBE40">
                <wp:simplePos x="0" y="0"/>
                <wp:positionH relativeFrom="column">
                  <wp:posOffset>179070</wp:posOffset>
                </wp:positionH>
                <wp:positionV relativeFrom="paragraph">
                  <wp:posOffset>240030</wp:posOffset>
                </wp:positionV>
                <wp:extent cx="600075" cy="3429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00075" cy="342900"/>
                        </a:xfrm>
                        <a:prstGeom prst="rect">
                          <a:avLst/>
                        </a:prstGeom>
                        <a:noFill/>
                        <a:ln w="6350">
                          <a:noFill/>
                        </a:ln>
                      </wps:spPr>
                      <wps:txbx>
                        <w:txbxContent>
                          <w:p w14:paraId="5EDE4867" w14:textId="77777777" w:rsidR="00672E5F" w:rsidRPr="00982BEA" w:rsidRDefault="00672E5F" w:rsidP="00672E5F">
                            <w:pPr>
                              <w:rPr>
                                <w:sz w:val="16"/>
                              </w:rPr>
                            </w:pPr>
                            <w:r w:rsidRPr="00982BEA">
                              <w:rPr>
                                <w:rFonts w:hint="eastAsia"/>
                                <w:sz w:val="16"/>
                              </w:rPr>
                              <w:t>(</w:t>
                            </w:r>
                            <w:r w:rsidRPr="00982BEA">
                              <w:rPr>
                                <w:rFonts w:hint="eastAsia"/>
                                <w:sz w:val="16"/>
                              </w:rPr>
                              <w:t>百</w:t>
                            </w:r>
                            <w:r>
                              <w:rPr>
                                <w:rFonts w:hint="eastAsia"/>
                                <w:sz w:val="16"/>
                              </w:rPr>
                              <w:t>万</w:t>
                            </w:r>
                            <w:r>
                              <w:rPr>
                                <w:sz w:val="16"/>
                              </w:rPr>
                              <w:t>円</w:t>
                            </w:r>
                            <w:r w:rsidRPr="00982BEA">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DBAA4" id="テキスト ボックス 23" o:spid="_x0000_s1030" type="#_x0000_t202" style="position:absolute;left:0;text-align:left;margin-left:14.1pt;margin-top:18.9pt;width:47.25pt;height:27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" filled="f" stroked="f" strokeweight=".5pt">
                <v:textbox>
                  <w:txbxContent>
                    <w:p w14:paraId="5EDE4867" w14:textId="77777777" w:rsidR="00672E5F" w:rsidRPr="00982BEA" w:rsidRDefault="00672E5F" w:rsidP="00672E5F">
                      <w:pPr>
                        <w:rPr>
                          <w:sz w:val="16"/>
                        </w:rPr>
                      </w:pPr>
                      <w:r w:rsidRPr="00982BEA">
                        <w:rPr>
                          <w:rFonts w:hint="eastAsia"/>
                          <w:sz w:val="16"/>
                        </w:rPr>
                        <w:t>(</w:t>
                      </w:r>
                      <w:r w:rsidRPr="00982BEA">
                        <w:rPr>
                          <w:rFonts w:hint="eastAsia"/>
                          <w:sz w:val="16"/>
                        </w:rPr>
                        <w:t>百</w:t>
                      </w:r>
                      <w:r>
                        <w:rPr>
                          <w:rFonts w:hint="eastAsia"/>
                          <w:sz w:val="16"/>
                        </w:rPr>
                        <w:t>万</w:t>
                      </w:r>
                      <w:r>
                        <w:rPr>
                          <w:sz w:val="16"/>
                        </w:rPr>
                        <w:t>円</w:t>
                      </w:r>
                      <w:r w:rsidRPr="00982BEA">
                        <w:rPr>
                          <w:rFonts w:hint="eastAsia"/>
                          <w:sz w:val="16"/>
                        </w:rPr>
                        <w:t>)</w:t>
                      </w:r>
                    </w:p>
                  </w:txbxContent>
                </v:textbox>
              </v:shape>
            </w:pict>
          </mc:Fallback>
        </mc:AlternateContent>
      </w:r>
      <w:r>
        <w:rPr>
          <w:noProof/>
        </w:rPr>
        <w:drawing>
          <wp:anchor distT="0" distB="0" distL="114300" distR="114300" simplePos="0" relativeHeight="251653628" behindDoc="0" locked="0" layoutInCell="1" allowOverlap="1" wp14:anchorId="75EEFF22" wp14:editId="1D5ACF97">
            <wp:simplePos x="0" y="0"/>
            <wp:positionH relativeFrom="column">
              <wp:posOffset>3194685</wp:posOffset>
            </wp:positionH>
            <wp:positionV relativeFrom="paragraph">
              <wp:posOffset>197485</wp:posOffset>
            </wp:positionV>
            <wp:extent cx="2981325" cy="2000250"/>
            <wp:effectExtent l="0" t="0" r="9525" b="0"/>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3" behindDoc="0" locked="0" layoutInCell="1" allowOverlap="1" wp14:anchorId="0A8DBEE6" wp14:editId="7443DB58">
            <wp:simplePos x="0" y="0"/>
            <wp:positionH relativeFrom="column">
              <wp:posOffset>60960</wp:posOffset>
            </wp:positionH>
            <wp:positionV relativeFrom="paragraph">
              <wp:posOffset>197485</wp:posOffset>
            </wp:positionV>
            <wp:extent cx="2867025" cy="2000250"/>
            <wp:effectExtent l="0" t="0" r="9525" b="0"/>
            <wp:wrapNone/>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405EE37C" w14:textId="3296524F" w:rsidR="00BE7BFC" w:rsidRDefault="00BA1D5F" w:rsidP="004277A6">
      <w:pPr>
        <w:rPr>
          <w:rFonts w:ascii="Meiryo UI" w:hAnsi="Meiryo UI"/>
          <w:sz w:val="24"/>
        </w:rPr>
      </w:pPr>
      <w:r>
        <w:rPr>
          <w:rFonts w:hint="eastAsia"/>
          <w:noProof/>
        </w:rPr>
        <mc:AlternateContent>
          <mc:Choice Requires="wps">
            <w:drawing>
              <wp:anchor distT="0" distB="0" distL="114300" distR="114300" simplePos="0" relativeHeight="251915264" behindDoc="0" locked="0" layoutInCell="1" allowOverlap="1" wp14:anchorId="32790F7A" wp14:editId="17EAD2B5">
                <wp:simplePos x="0" y="0"/>
                <wp:positionH relativeFrom="column">
                  <wp:posOffset>3256280</wp:posOffset>
                </wp:positionH>
                <wp:positionV relativeFrom="paragraph">
                  <wp:posOffset>23495</wp:posOffset>
                </wp:positionV>
                <wp:extent cx="600075" cy="3429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600075" cy="342900"/>
                        </a:xfrm>
                        <a:prstGeom prst="rect">
                          <a:avLst/>
                        </a:prstGeom>
                        <a:solidFill>
                          <a:sysClr val="window" lastClr="FFFFFF"/>
                        </a:solidFill>
                        <a:ln w="6350">
                          <a:noFill/>
                        </a:ln>
                      </wps:spPr>
                      <wps:txbx>
                        <w:txbxContent>
                          <w:p w14:paraId="0621D1B0" w14:textId="77777777" w:rsidR="00B009ED" w:rsidRPr="00982BEA" w:rsidRDefault="00B009ED" w:rsidP="00B009ED">
                            <w:pPr>
                              <w:rPr>
                                <w:sz w:val="16"/>
                              </w:rPr>
                            </w:pPr>
                            <w:r w:rsidRPr="00982BEA">
                              <w:rPr>
                                <w:rFonts w:hint="eastAsia"/>
                                <w:sz w:val="16"/>
                              </w:rPr>
                              <w:t>(</w:t>
                            </w:r>
                            <w:r w:rsidRPr="00982BEA">
                              <w:rPr>
                                <w:rFonts w:hint="eastAsia"/>
                                <w:sz w:val="16"/>
                              </w:rPr>
                              <w:t>百</w:t>
                            </w:r>
                            <w:r>
                              <w:rPr>
                                <w:rFonts w:hint="eastAsia"/>
                                <w:sz w:val="16"/>
                              </w:rPr>
                              <w:t>万</w:t>
                            </w:r>
                            <w:r>
                              <w:rPr>
                                <w:sz w:val="16"/>
                              </w:rPr>
                              <w:t>円</w:t>
                            </w:r>
                            <w:r w:rsidRPr="00982BEA">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90F7A" id="テキスト ボックス 5" o:spid="_x0000_s1031" type="#_x0000_t202" style="position:absolute;left:0;text-align:left;margin-left:256.4pt;margin-top:1.85pt;width:47.25pt;height:27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" fillcolor="window" stroked="f" strokeweight=".5pt">
                <v:textbox>
                  <w:txbxContent>
                    <w:p w14:paraId="0621D1B0" w14:textId="77777777" w:rsidR="00B009ED" w:rsidRPr="00982BEA" w:rsidRDefault="00B009ED" w:rsidP="00B009ED">
                      <w:pPr>
                        <w:rPr>
                          <w:sz w:val="16"/>
                        </w:rPr>
                      </w:pPr>
                      <w:r w:rsidRPr="00982BEA">
                        <w:rPr>
                          <w:rFonts w:hint="eastAsia"/>
                          <w:sz w:val="16"/>
                        </w:rPr>
                        <w:t>(</w:t>
                      </w:r>
                      <w:r w:rsidRPr="00982BEA">
                        <w:rPr>
                          <w:rFonts w:hint="eastAsia"/>
                          <w:sz w:val="16"/>
                        </w:rPr>
                        <w:t>百</w:t>
                      </w:r>
                      <w:r>
                        <w:rPr>
                          <w:rFonts w:hint="eastAsia"/>
                          <w:sz w:val="16"/>
                        </w:rPr>
                        <w:t>万</w:t>
                      </w:r>
                      <w:r>
                        <w:rPr>
                          <w:sz w:val="16"/>
                        </w:rPr>
                        <w:t>円</w:t>
                      </w:r>
                      <w:r w:rsidRPr="00982BEA">
                        <w:rPr>
                          <w:rFonts w:hint="eastAsia"/>
                          <w:sz w:val="16"/>
                        </w:rPr>
                        <w:t>)</w:t>
                      </w:r>
                    </w:p>
                  </w:txbxContent>
                </v:textbox>
              </v:shape>
            </w:pict>
          </mc:Fallback>
        </mc:AlternateContent>
      </w:r>
    </w:p>
    <w:p w14:paraId="155B4343" w14:textId="1F1ED499" w:rsidR="00BE7BFC" w:rsidRDefault="00BE7BFC" w:rsidP="004277A6">
      <w:pPr>
        <w:rPr>
          <w:rFonts w:ascii="Meiryo UI" w:hAnsi="Meiryo UI"/>
          <w:sz w:val="24"/>
        </w:rPr>
      </w:pPr>
    </w:p>
    <w:p w14:paraId="7342771D" w14:textId="77777777" w:rsidR="00BE7BFC" w:rsidRDefault="00BE7BFC" w:rsidP="004277A6">
      <w:pPr>
        <w:rPr>
          <w:rFonts w:ascii="Meiryo UI" w:hAnsi="Meiryo UI"/>
          <w:sz w:val="24"/>
        </w:rPr>
      </w:pPr>
    </w:p>
    <w:p w14:paraId="5CDE536C" w14:textId="73F98C01" w:rsidR="00BE7BFC" w:rsidRDefault="00BE7BFC" w:rsidP="004277A6">
      <w:pPr>
        <w:rPr>
          <w:rFonts w:ascii="Meiryo UI" w:hAnsi="Meiryo UI"/>
          <w:sz w:val="24"/>
        </w:rPr>
      </w:pPr>
    </w:p>
    <w:p w14:paraId="438DC39C" w14:textId="77777777" w:rsidR="00BE7BFC" w:rsidRDefault="00BE7BFC" w:rsidP="004277A6">
      <w:pPr>
        <w:rPr>
          <w:rFonts w:ascii="Meiryo UI" w:hAnsi="Meiryo UI"/>
          <w:sz w:val="24"/>
        </w:rPr>
      </w:pPr>
    </w:p>
    <w:p w14:paraId="0A162A27" w14:textId="77777777" w:rsidR="00BE7BFC" w:rsidRDefault="00BE7BFC" w:rsidP="004277A6">
      <w:pPr>
        <w:rPr>
          <w:rFonts w:ascii="Meiryo UI" w:hAnsi="Meiryo UI"/>
          <w:sz w:val="24"/>
        </w:rPr>
      </w:pPr>
    </w:p>
    <w:p w14:paraId="4DBC7DD5" w14:textId="1811B67D" w:rsidR="00BE7BFC" w:rsidRDefault="00BE7BFC" w:rsidP="004277A6">
      <w:pPr>
        <w:rPr>
          <w:rFonts w:ascii="Meiryo UI" w:hAnsi="Meiryo UI"/>
          <w:sz w:val="24"/>
        </w:rPr>
      </w:pPr>
    </w:p>
    <w:p w14:paraId="137F1049" w14:textId="1A3DD1F0" w:rsidR="00BE7BFC" w:rsidRDefault="00BE7BFC" w:rsidP="004277A6">
      <w:pPr>
        <w:rPr>
          <w:rFonts w:ascii="Meiryo UI" w:hAnsi="Meiryo UI"/>
          <w:sz w:val="24"/>
        </w:rPr>
      </w:pPr>
    </w:p>
    <w:p w14:paraId="059F8C02" w14:textId="77777777" w:rsidR="00BE7BFC" w:rsidRDefault="00BE7BFC" w:rsidP="004277A6">
      <w:pPr>
        <w:rPr>
          <w:rFonts w:ascii="Meiryo UI" w:hAnsi="Meiryo UI"/>
          <w:sz w:val="24"/>
        </w:rPr>
      </w:pPr>
    </w:p>
    <w:p w14:paraId="55639947" w14:textId="50BA1BED" w:rsidR="004277A6" w:rsidRDefault="002160EF" w:rsidP="004277A6">
      <w:pPr>
        <w:rPr>
          <w:rFonts w:ascii="Meiryo UI" w:hAnsi="Meiryo UI"/>
          <w:sz w:val="24"/>
        </w:rPr>
      </w:pPr>
      <w:r w:rsidRPr="00985B90">
        <w:rPr>
          <w:rFonts w:ascii="Meiryo UI" w:hAnsi="Meiryo UI" w:hint="eastAsia"/>
          <w:sz w:val="24"/>
        </w:rPr>
        <w:lastRenderedPageBreak/>
        <w:t>(２)</w:t>
      </w:r>
      <w:r w:rsidR="00C94C27" w:rsidRPr="00985B90">
        <w:rPr>
          <w:rFonts w:ascii="Meiryo UI" w:hAnsi="Meiryo UI" w:hint="eastAsia"/>
          <w:sz w:val="24"/>
        </w:rPr>
        <w:t>直近４</w:t>
      </w:r>
      <w:r w:rsidR="000D28EF">
        <w:rPr>
          <w:rFonts w:ascii="Meiryo UI" w:hAnsi="Meiryo UI" w:hint="eastAsia"/>
          <w:sz w:val="24"/>
        </w:rPr>
        <w:t>年間の各種経営指標</w:t>
      </w:r>
    </w:p>
    <w:p w14:paraId="0ECE30E9" w14:textId="17371E02" w:rsidR="009154CE" w:rsidRDefault="009154CE" w:rsidP="004277A6">
      <w:pPr>
        <w:rPr>
          <w:rFonts w:ascii="Meiryo UI" w:hAnsi="Meiryo UI"/>
          <w:sz w:val="24"/>
        </w:rPr>
      </w:pPr>
    </w:p>
    <w:tbl>
      <w:tblPr>
        <w:tblStyle w:val="ad"/>
        <w:tblW w:w="0" w:type="auto"/>
        <w:jc w:val="center"/>
        <w:tblLook w:val="04A0" w:firstRow="1" w:lastRow="0" w:firstColumn="1" w:lastColumn="0" w:noHBand="0" w:noVBand="1"/>
      </w:tblPr>
      <w:tblGrid>
        <w:gridCol w:w="3206"/>
        <w:gridCol w:w="1472"/>
        <w:gridCol w:w="1560"/>
        <w:gridCol w:w="1559"/>
        <w:gridCol w:w="1417"/>
      </w:tblGrid>
      <w:tr w:rsidR="009154CE" w14:paraId="3B6E7EDF" w14:textId="77777777" w:rsidTr="00673655">
        <w:trPr>
          <w:trHeight w:val="610"/>
          <w:jc w:val="center"/>
        </w:trPr>
        <w:tc>
          <w:tcPr>
            <w:tcW w:w="3206" w:type="dxa"/>
            <w:tcBorders>
              <w:tl2br w:val="single" w:sz="4" w:space="0" w:color="auto"/>
            </w:tcBorders>
            <w:shd w:val="clear" w:color="auto" w:fill="BFBFBF" w:themeFill="background1" w:themeFillShade="BF"/>
          </w:tcPr>
          <w:p w14:paraId="484CBA72" w14:textId="77777777" w:rsidR="009154CE" w:rsidRDefault="009154CE" w:rsidP="004277A6">
            <w:pPr>
              <w:rPr>
                <w:rFonts w:ascii="Meiryo UI" w:hAnsi="Meiryo UI"/>
                <w:sz w:val="24"/>
              </w:rPr>
            </w:pPr>
          </w:p>
        </w:tc>
        <w:tc>
          <w:tcPr>
            <w:tcW w:w="1472" w:type="dxa"/>
            <w:shd w:val="clear" w:color="auto" w:fill="BFBFBF" w:themeFill="background1" w:themeFillShade="BF"/>
            <w:vAlign w:val="center"/>
          </w:tcPr>
          <w:p w14:paraId="75AF7420" w14:textId="415BE2E3" w:rsidR="00A761DB" w:rsidRDefault="00531284" w:rsidP="009154CE">
            <w:pPr>
              <w:jc w:val="center"/>
              <w:rPr>
                <w:rFonts w:ascii="Meiryo UI" w:hAnsi="Meiryo UI"/>
                <w:sz w:val="24"/>
              </w:rPr>
            </w:pPr>
            <w:r>
              <w:rPr>
                <w:rFonts w:ascii="Meiryo UI" w:hAnsi="Meiryo UI" w:hint="eastAsia"/>
                <w:sz w:val="24"/>
              </w:rPr>
              <w:t>2017</w:t>
            </w:r>
          </w:p>
          <w:p w14:paraId="429995C9" w14:textId="3F9C993C" w:rsidR="009154CE" w:rsidRDefault="009154CE" w:rsidP="009154CE">
            <w:pPr>
              <w:jc w:val="center"/>
              <w:rPr>
                <w:rFonts w:ascii="Meiryo UI" w:hAnsi="Meiryo UI"/>
                <w:sz w:val="24"/>
              </w:rPr>
            </w:pPr>
            <w:r>
              <w:rPr>
                <w:rFonts w:ascii="Meiryo UI" w:hAnsi="Meiryo UI" w:hint="eastAsia"/>
                <w:sz w:val="24"/>
              </w:rPr>
              <w:t>年</w:t>
            </w:r>
            <w:r w:rsidR="00A761DB">
              <w:rPr>
                <w:rFonts w:ascii="Meiryo UI" w:hAnsi="Meiryo UI" w:hint="eastAsia"/>
                <w:sz w:val="24"/>
              </w:rPr>
              <w:t>度</w:t>
            </w:r>
          </w:p>
        </w:tc>
        <w:tc>
          <w:tcPr>
            <w:tcW w:w="1560" w:type="dxa"/>
            <w:shd w:val="clear" w:color="auto" w:fill="BFBFBF" w:themeFill="background1" w:themeFillShade="BF"/>
            <w:vAlign w:val="center"/>
          </w:tcPr>
          <w:p w14:paraId="0FE38D13" w14:textId="396A0756" w:rsidR="00A761DB" w:rsidRDefault="00531284" w:rsidP="009154CE">
            <w:pPr>
              <w:jc w:val="center"/>
              <w:rPr>
                <w:rFonts w:ascii="Meiryo UI" w:hAnsi="Meiryo UI"/>
                <w:sz w:val="24"/>
              </w:rPr>
            </w:pPr>
            <w:r>
              <w:rPr>
                <w:rFonts w:ascii="Meiryo UI" w:hAnsi="Meiryo UI" w:hint="eastAsia"/>
                <w:sz w:val="24"/>
              </w:rPr>
              <w:t>2018</w:t>
            </w:r>
          </w:p>
          <w:p w14:paraId="191408DA" w14:textId="558361BA" w:rsidR="009154CE" w:rsidRDefault="009154CE" w:rsidP="009154CE">
            <w:pPr>
              <w:jc w:val="center"/>
              <w:rPr>
                <w:rFonts w:ascii="Meiryo UI" w:hAnsi="Meiryo UI"/>
                <w:sz w:val="24"/>
              </w:rPr>
            </w:pPr>
            <w:r>
              <w:rPr>
                <w:rFonts w:ascii="Meiryo UI" w:hAnsi="Meiryo UI" w:hint="eastAsia"/>
                <w:sz w:val="24"/>
              </w:rPr>
              <w:t>年</w:t>
            </w:r>
            <w:r w:rsidR="00A761DB">
              <w:rPr>
                <w:rFonts w:ascii="Meiryo UI" w:hAnsi="Meiryo UI" w:hint="eastAsia"/>
                <w:sz w:val="24"/>
              </w:rPr>
              <w:t>度</w:t>
            </w:r>
          </w:p>
        </w:tc>
        <w:tc>
          <w:tcPr>
            <w:tcW w:w="1559" w:type="dxa"/>
            <w:shd w:val="clear" w:color="auto" w:fill="BFBFBF" w:themeFill="background1" w:themeFillShade="BF"/>
            <w:vAlign w:val="center"/>
          </w:tcPr>
          <w:p w14:paraId="07FF165A" w14:textId="195E6DBE" w:rsidR="00A761DB" w:rsidRDefault="00531284" w:rsidP="009154CE">
            <w:pPr>
              <w:jc w:val="center"/>
              <w:rPr>
                <w:rFonts w:ascii="Meiryo UI" w:hAnsi="Meiryo UI"/>
                <w:sz w:val="24"/>
              </w:rPr>
            </w:pPr>
            <w:r>
              <w:rPr>
                <w:rFonts w:ascii="Meiryo UI" w:hAnsi="Meiryo UI" w:hint="eastAsia"/>
                <w:sz w:val="24"/>
              </w:rPr>
              <w:t>2019</w:t>
            </w:r>
          </w:p>
          <w:p w14:paraId="30A45BF4" w14:textId="059456E7" w:rsidR="009154CE" w:rsidRDefault="009154CE" w:rsidP="009154CE">
            <w:pPr>
              <w:jc w:val="center"/>
              <w:rPr>
                <w:rFonts w:ascii="Meiryo UI" w:hAnsi="Meiryo UI"/>
                <w:sz w:val="24"/>
              </w:rPr>
            </w:pPr>
            <w:r>
              <w:rPr>
                <w:rFonts w:ascii="Meiryo UI" w:hAnsi="Meiryo UI" w:hint="eastAsia"/>
                <w:sz w:val="24"/>
              </w:rPr>
              <w:t>年</w:t>
            </w:r>
            <w:r w:rsidR="00A761DB">
              <w:rPr>
                <w:rFonts w:ascii="Meiryo UI" w:hAnsi="Meiryo UI" w:hint="eastAsia"/>
                <w:sz w:val="24"/>
              </w:rPr>
              <w:t>度</w:t>
            </w:r>
          </w:p>
        </w:tc>
        <w:tc>
          <w:tcPr>
            <w:tcW w:w="1417" w:type="dxa"/>
            <w:shd w:val="clear" w:color="auto" w:fill="BFBFBF" w:themeFill="background1" w:themeFillShade="BF"/>
            <w:vAlign w:val="center"/>
          </w:tcPr>
          <w:p w14:paraId="1119BDED" w14:textId="2A44233E" w:rsidR="00A761DB" w:rsidRDefault="00531284" w:rsidP="009154CE">
            <w:pPr>
              <w:jc w:val="center"/>
              <w:rPr>
                <w:rFonts w:ascii="Meiryo UI" w:hAnsi="Meiryo UI"/>
                <w:sz w:val="24"/>
              </w:rPr>
            </w:pPr>
            <w:r>
              <w:rPr>
                <w:rFonts w:ascii="Meiryo UI" w:hAnsi="Meiryo UI" w:hint="eastAsia"/>
                <w:sz w:val="24"/>
              </w:rPr>
              <w:t>2020</w:t>
            </w:r>
          </w:p>
          <w:p w14:paraId="2C68616E" w14:textId="6B92B22F" w:rsidR="009154CE" w:rsidRDefault="009154CE" w:rsidP="009154CE">
            <w:pPr>
              <w:jc w:val="center"/>
              <w:rPr>
                <w:rFonts w:ascii="Meiryo UI" w:hAnsi="Meiryo UI"/>
                <w:sz w:val="24"/>
              </w:rPr>
            </w:pPr>
            <w:r>
              <w:rPr>
                <w:rFonts w:ascii="Meiryo UI" w:hAnsi="Meiryo UI" w:hint="eastAsia"/>
                <w:sz w:val="24"/>
              </w:rPr>
              <w:t>年</w:t>
            </w:r>
            <w:r w:rsidR="00A761DB">
              <w:rPr>
                <w:rFonts w:ascii="Meiryo UI" w:hAnsi="Meiryo UI" w:hint="eastAsia"/>
                <w:sz w:val="24"/>
              </w:rPr>
              <w:t>度</w:t>
            </w:r>
          </w:p>
        </w:tc>
      </w:tr>
      <w:tr w:rsidR="009154CE" w14:paraId="0DD7452F" w14:textId="77777777" w:rsidTr="00673655">
        <w:trPr>
          <w:trHeight w:val="419"/>
          <w:jc w:val="center"/>
        </w:trPr>
        <w:tc>
          <w:tcPr>
            <w:tcW w:w="3206" w:type="dxa"/>
            <w:vAlign w:val="center"/>
          </w:tcPr>
          <w:p w14:paraId="1905F68C" w14:textId="102BD5B6" w:rsidR="009154CE" w:rsidRPr="00673655" w:rsidRDefault="009154CE" w:rsidP="004277A6">
            <w:pPr>
              <w:rPr>
                <w:rFonts w:ascii="Meiryo UI" w:hAnsi="Meiryo UI"/>
              </w:rPr>
            </w:pPr>
            <w:r w:rsidRPr="00673655">
              <w:rPr>
                <w:rFonts w:ascii="Meiryo UI" w:hAnsi="Meiryo UI" w:hint="eastAsia"/>
              </w:rPr>
              <w:t>経常収支比率</w:t>
            </w:r>
          </w:p>
        </w:tc>
        <w:tc>
          <w:tcPr>
            <w:tcW w:w="1472" w:type="dxa"/>
            <w:vAlign w:val="center"/>
          </w:tcPr>
          <w:p w14:paraId="14D021EB" w14:textId="7A91AFFB" w:rsidR="009154CE" w:rsidRPr="00673655" w:rsidRDefault="009154CE" w:rsidP="00673655">
            <w:pPr>
              <w:jc w:val="right"/>
              <w:rPr>
                <w:rFonts w:ascii="Meiryo UI" w:hAnsi="Meiryo UI"/>
              </w:rPr>
            </w:pPr>
            <w:r w:rsidRPr="00673655">
              <w:rPr>
                <w:rFonts w:ascii="Meiryo UI" w:hAnsi="Meiryo UI" w:hint="eastAsia"/>
              </w:rPr>
              <w:t>88.6%</w:t>
            </w:r>
          </w:p>
        </w:tc>
        <w:tc>
          <w:tcPr>
            <w:tcW w:w="1560" w:type="dxa"/>
            <w:vAlign w:val="center"/>
          </w:tcPr>
          <w:p w14:paraId="0FB1EBAC" w14:textId="5327DC02" w:rsidR="009154CE" w:rsidRPr="00673655" w:rsidRDefault="009154CE" w:rsidP="00673655">
            <w:pPr>
              <w:jc w:val="right"/>
              <w:rPr>
                <w:rFonts w:ascii="Meiryo UI" w:hAnsi="Meiryo UI"/>
              </w:rPr>
            </w:pPr>
            <w:r w:rsidRPr="00673655">
              <w:rPr>
                <w:rFonts w:ascii="Meiryo UI" w:hAnsi="Meiryo UI" w:hint="eastAsia"/>
              </w:rPr>
              <w:t>99.7%</w:t>
            </w:r>
          </w:p>
        </w:tc>
        <w:tc>
          <w:tcPr>
            <w:tcW w:w="1559" w:type="dxa"/>
            <w:vAlign w:val="center"/>
          </w:tcPr>
          <w:p w14:paraId="37AADAE9" w14:textId="2EB9B5FF" w:rsidR="009154CE" w:rsidRPr="00673655" w:rsidRDefault="009154CE" w:rsidP="00673655">
            <w:pPr>
              <w:jc w:val="right"/>
              <w:rPr>
                <w:rFonts w:ascii="Meiryo UI" w:hAnsi="Meiryo UI"/>
              </w:rPr>
            </w:pPr>
            <w:r w:rsidRPr="00673655">
              <w:rPr>
                <w:rFonts w:ascii="Meiryo UI" w:hAnsi="Meiryo UI" w:hint="eastAsia"/>
              </w:rPr>
              <w:t>120.1%</w:t>
            </w:r>
          </w:p>
        </w:tc>
        <w:tc>
          <w:tcPr>
            <w:tcW w:w="1417" w:type="dxa"/>
            <w:vAlign w:val="center"/>
          </w:tcPr>
          <w:p w14:paraId="309CE3AE" w14:textId="71EA698A" w:rsidR="009154CE" w:rsidRPr="00673655" w:rsidRDefault="009154CE" w:rsidP="00673655">
            <w:pPr>
              <w:jc w:val="right"/>
              <w:rPr>
                <w:rFonts w:ascii="Meiryo UI" w:hAnsi="Meiryo UI"/>
              </w:rPr>
            </w:pPr>
            <w:r w:rsidRPr="00673655">
              <w:rPr>
                <w:rFonts w:ascii="Meiryo UI" w:hAnsi="Meiryo UI" w:hint="eastAsia"/>
              </w:rPr>
              <w:t>129.9％</w:t>
            </w:r>
          </w:p>
        </w:tc>
      </w:tr>
      <w:tr w:rsidR="009154CE" w14:paraId="48821DE1" w14:textId="77777777" w:rsidTr="00673655">
        <w:trPr>
          <w:trHeight w:val="345"/>
          <w:jc w:val="center"/>
        </w:trPr>
        <w:tc>
          <w:tcPr>
            <w:tcW w:w="3206" w:type="dxa"/>
            <w:vAlign w:val="center"/>
          </w:tcPr>
          <w:p w14:paraId="1685CDAE" w14:textId="62CE596E" w:rsidR="009154CE" w:rsidRPr="00673655" w:rsidRDefault="009154CE" w:rsidP="004277A6">
            <w:pPr>
              <w:rPr>
                <w:rFonts w:ascii="Meiryo UI" w:hAnsi="Meiryo UI"/>
              </w:rPr>
            </w:pPr>
            <w:r w:rsidRPr="00673655">
              <w:rPr>
                <w:rFonts w:ascii="Meiryo UI" w:hAnsi="Meiryo UI" w:hint="eastAsia"/>
              </w:rPr>
              <w:t>経費回収率</w:t>
            </w:r>
          </w:p>
        </w:tc>
        <w:tc>
          <w:tcPr>
            <w:tcW w:w="1472" w:type="dxa"/>
            <w:vAlign w:val="center"/>
          </w:tcPr>
          <w:p w14:paraId="26304921" w14:textId="7A95CF60" w:rsidR="009154CE" w:rsidRPr="00673655" w:rsidRDefault="009154CE" w:rsidP="00673655">
            <w:pPr>
              <w:jc w:val="right"/>
              <w:rPr>
                <w:rFonts w:ascii="Meiryo UI" w:hAnsi="Meiryo UI"/>
              </w:rPr>
            </w:pPr>
            <w:r w:rsidRPr="00673655">
              <w:rPr>
                <w:rFonts w:ascii="Meiryo UI" w:hAnsi="Meiryo UI" w:hint="eastAsia"/>
              </w:rPr>
              <w:t>72.7%</w:t>
            </w:r>
          </w:p>
        </w:tc>
        <w:tc>
          <w:tcPr>
            <w:tcW w:w="1560" w:type="dxa"/>
            <w:vAlign w:val="center"/>
          </w:tcPr>
          <w:p w14:paraId="25724451" w14:textId="6121F466" w:rsidR="009154CE" w:rsidRPr="00673655" w:rsidRDefault="009154CE" w:rsidP="00673655">
            <w:pPr>
              <w:jc w:val="right"/>
              <w:rPr>
                <w:rFonts w:ascii="Meiryo UI" w:hAnsi="Meiryo UI"/>
              </w:rPr>
            </w:pPr>
            <w:r w:rsidRPr="00673655">
              <w:rPr>
                <w:rFonts w:ascii="Meiryo UI" w:hAnsi="Meiryo UI" w:hint="eastAsia"/>
              </w:rPr>
              <w:t>74.2%</w:t>
            </w:r>
          </w:p>
        </w:tc>
        <w:tc>
          <w:tcPr>
            <w:tcW w:w="1559" w:type="dxa"/>
            <w:vAlign w:val="center"/>
          </w:tcPr>
          <w:p w14:paraId="2BB39C49" w14:textId="5F36708E" w:rsidR="009154CE" w:rsidRPr="00673655" w:rsidRDefault="009154CE" w:rsidP="00673655">
            <w:pPr>
              <w:jc w:val="right"/>
              <w:rPr>
                <w:rFonts w:ascii="Meiryo UI" w:hAnsi="Meiryo UI"/>
              </w:rPr>
            </w:pPr>
            <w:r w:rsidRPr="00673655">
              <w:rPr>
                <w:rFonts w:ascii="Meiryo UI" w:hAnsi="Meiryo UI" w:hint="eastAsia"/>
              </w:rPr>
              <w:t>100.0％</w:t>
            </w:r>
          </w:p>
        </w:tc>
        <w:tc>
          <w:tcPr>
            <w:tcW w:w="1417" w:type="dxa"/>
            <w:vAlign w:val="center"/>
          </w:tcPr>
          <w:p w14:paraId="247F7397" w14:textId="3CFD5AA0" w:rsidR="009154CE" w:rsidRPr="00673655" w:rsidRDefault="009154CE" w:rsidP="00673655">
            <w:pPr>
              <w:jc w:val="right"/>
              <w:rPr>
                <w:rFonts w:ascii="Meiryo UI" w:hAnsi="Meiryo UI"/>
              </w:rPr>
            </w:pPr>
            <w:r w:rsidRPr="00673655">
              <w:rPr>
                <w:rFonts w:ascii="Meiryo UI" w:hAnsi="Meiryo UI" w:hint="eastAsia"/>
              </w:rPr>
              <w:t>115.9％</w:t>
            </w:r>
          </w:p>
        </w:tc>
      </w:tr>
      <w:tr w:rsidR="009154CE" w14:paraId="3EA748CC" w14:textId="77777777" w:rsidTr="00673655">
        <w:trPr>
          <w:jc w:val="center"/>
        </w:trPr>
        <w:tc>
          <w:tcPr>
            <w:tcW w:w="3206" w:type="dxa"/>
            <w:vAlign w:val="center"/>
          </w:tcPr>
          <w:p w14:paraId="42C11927" w14:textId="6398808E" w:rsidR="009154CE" w:rsidRPr="00673655" w:rsidRDefault="009154CE" w:rsidP="00673655">
            <w:pPr>
              <w:rPr>
                <w:rFonts w:ascii="Meiryo UI" w:hAnsi="Meiryo UI"/>
              </w:rPr>
            </w:pPr>
            <w:r w:rsidRPr="00673655">
              <w:rPr>
                <w:rFonts w:ascii="Meiryo UI" w:hAnsi="Meiryo UI" w:hint="eastAsia"/>
              </w:rPr>
              <w:t>他会計補助金比率</w:t>
            </w:r>
          </w:p>
        </w:tc>
        <w:tc>
          <w:tcPr>
            <w:tcW w:w="1472" w:type="dxa"/>
            <w:vAlign w:val="center"/>
          </w:tcPr>
          <w:p w14:paraId="04EED3E6" w14:textId="4B1F3A1C" w:rsidR="009154CE" w:rsidRPr="00673655" w:rsidRDefault="009154CE" w:rsidP="00673655">
            <w:pPr>
              <w:jc w:val="right"/>
              <w:rPr>
                <w:rFonts w:ascii="Meiryo UI" w:hAnsi="Meiryo UI"/>
              </w:rPr>
            </w:pPr>
            <w:r w:rsidRPr="00673655">
              <w:rPr>
                <w:rFonts w:ascii="Meiryo UI" w:hAnsi="Meiryo UI" w:hint="eastAsia"/>
              </w:rPr>
              <w:t>5.2%</w:t>
            </w:r>
          </w:p>
        </w:tc>
        <w:tc>
          <w:tcPr>
            <w:tcW w:w="1560" w:type="dxa"/>
            <w:vAlign w:val="center"/>
          </w:tcPr>
          <w:p w14:paraId="5943D327" w14:textId="1955DFF9" w:rsidR="009154CE" w:rsidRPr="00673655" w:rsidRDefault="009154CE" w:rsidP="00673655">
            <w:pPr>
              <w:jc w:val="right"/>
              <w:rPr>
                <w:rFonts w:ascii="Meiryo UI" w:hAnsi="Meiryo UI"/>
              </w:rPr>
            </w:pPr>
            <w:r w:rsidRPr="00673655">
              <w:rPr>
                <w:rFonts w:ascii="Meiryo UI" w:hAnsi="Meiryo UI" w:hint="eastAsia"/>
              </w:rPr>
              <w:t>17.3%</w:t>
            </w:r>
          </w:p>
        </w:tc>
        <w:tc>
          <w:tcPr>
            <w:tcW w:w="1559" w:type="dxa"/>
            <w:vAlign w:val="center"/>
          </w:tcPr>
          <w:p w14:paraId="1A086CA4" w14:textId="305CF8F3" w:rsidR="009154CE" w:rsidRPr="00673655" w:rsidRDefault="009154CE" w:rsidP="00673655">
            <w:pPr>
              <w:jc w:val="right"/>
              <w:rPr>
                <w:rFonts w:ascii="Meiryo UI" w:hAnsi="Meiryo UI"/>
              </w:rPr>
            </w:pPr>
            <w:r w:rsidRPr="00673655">
              <w:rPr>
                <w:rFonts w:ascii="Meiryo UI" w:hAnsi="Meiryo UI" w:hint="eastAsia"/>
              </w:rPr>
              <w:t>11.4％</w:t>
            </w:r>
          </w:p>
        </w:tc>
        <w:tc>
          <w:tcPr>
            <w:tcW w:w="1417" w:type="dxa"/>
            <w:vAlign w:val="center"/>
          </w:tcPr>
          <w:p w14:paraId="503C9184" w14:textId="3CF17860" w:rsidR="009154CE" w:rsidRPr="00673655" w:rsidRDefault="009154CE" w:rsidP="00673655">
            <w:pPr>
              <w:jc w:val="right"/>
              <w:rPr>
                <w:rFonts w:ascii="Meiryo UI" w:hAnsi="Meiryo UI"/>
              </w:rPr>
            </w:pPr>
            <w:r w:rsidRPr="00673655">
              <w:rPr>
                <w:rFonts w:ascii="Meiryo UI" w:hAnsi="Meiryo UI" w:hint="eastAsia"/>
              </w:rPr>
              <w:t>8.3％</w:t>
            </w:r>
          </w:p>
        </w:tc>
      </w:tr>
      <w:tr w:rsidR="009154CE" w14:paraId="77299DB6" w14:textId="77777777" w:rsidTr="00673655">
        <w:trPr>
          <w:trHeight w:val="364"/>
          <w:jc w:val="center"/>
        </w:trPr>
        <w:tc>
          <w:tcPr>
            <w:tcW w:w="3206" w:type="dxa"/>
            <w:vAlign w:val="center"/>
          </w:tcPr>
          <w:p w14:paraId="32A09DC4" w14:textId="24F8EBD1" w:rsidR="009154CE" w:rsidRPr="00673655" w:rsidRDefault="009154CE" w:rsidP="004277A6">
            <w:pPr>
              <w:rPr>
                <w:rFonts w:ascii="Meiryo UI" w:hAnsi="Meiryo UI"/>
              </w:rPr>
            </w:pPr>
            <w:r w:rsidRPr="00673655">
              <w:rPr>
                <w:rFonts w:ascii="Meiryo UI" w:hAnsi="Meiryo UI" w:hint="eastAsia"/>
              </w:rPr>
              <w:t>自己資本比率</w:t>
            </w:r>
          </w:p>
        </w:tc>
        <w:tc>
          <w:tcPr>
            <w:tcW w:w="1472" w:type="dxa"/>
            <w:vAlign w:val="center"/>
          </w:tcPr>
          <w:p w14:paraId="56D13202" w14:textId="18D2714F" w:rsidR="009154CE" w:rsidRPr="00673655" w:rsidRDefault="009154CE" w:rsidP="00673655">
            <w:pPr>
              <w:jc w:val="right"/>
              <w:rPr>
                <w:rFonts w:ascii="Meiryo UI" w:hAnsi="Meiryo UI"/>
              </w:rPr>
            </w:pPr>
            <w:r w:rsidRPr="00673655">
              <w:rPr>
                <w:rFonts w:ascii="Meiryo UI" w:hAnsi="Meiryo UI" w:hint="eastAsia"/>
              </w:rPr>
              <w:t>78.4%</w:t>
            </w:r>
          </w:p>
        </w:tc>
        <w:tc>
          <w:tcPr>
            <w:tcW w:w="1560" w:type="dxa"/>
            <w:vAlign w:val="center"/>
          </w:tcPr>
          <w:p w14:paraId="32784D58" w14:textId="73831F01" w:rsidR="009154CE" w:rsidRPr="00673655" w:rsidRDefault="009154CE" w:rsidP="00673655">
            <w:pPr>
              <w:jc w:val="right"/>
              <w:rPr>
                <w:rFonts w:ascii="Meiryo UI" w:hAnsi="Meiryo UI"/>
              </w:rPr>
            </w:pPr>
            <w:r w:rsidRPr="00673655">
              <w:rPr>
                <w:rFonts w:ascii="Meiryo UI" w:hAnsi="Meiryo UI" w:hint="eastAsia"/>
              </w:rPr>
              <w:t>87.0％</w:t>
            </w:r>
          </w:p>
        </w:tc>
        <w:tc>
          <w:tcPr>
            <w:tcW w:w="1559" w:type="dxa"/>
            <w:vAlign w:val="center"/>
          </w:tcPr>
          <w:p w14:paraId="4C3C01E9" w14:textId="69EDA195" w:rsidR="009154CE" w:rsidRPr="00673655" w:rsidRDefault="009154CE" w:rsidP="00673655">
            <w:pPr>
              <w:jc w:val="right"/>
              <w:rPr>
                <w:rFonts w:ascii="Meiryo UI" w:hAnsi="Meiryo UI"/>
              </w:rPr>
            </w:pPr>
            <w:r w:rsidRPr="00673655">
              <w:rPr>
                <w:rFonts w:ascii="Meiryo UI" w:hAnsi="Meiryo UI" w:hint="eastAsia"/>
              </w:rPr>
              <w:t>87.6％</w:t>
            </w:r>
          </w:p>
        </w:tc>
        <w:tc>
          <w:tcPr>
            <w:tcW w:w="1417" w:type="dxa"/>
            <w:vAlign w:val="center"/>
          </w:tcPr>
          <w:p w14:paraId="3522126D" w14:textId="37BE1E8C" w:rsidR="009154CE" w:rsidRPr="00673655" w:rsidRDefault="009154CE" w:rsidP="00673655">
            <w:pPr>
              <w:jc w:val="right"/>
              <w:rPr>
                <w:rFonts w:ascii="Meiryo UI" w:hAnsi="Meiryo UI"/>
              </w:rPr>
            </w:pPr>
            <w:r w:rsidRPr="00673655">
              <w:rPr>
                <w:rFonts w:ascii="Meiryo UI" w:hAnsi="Meiryo UI" w:hint="eastAsia"/>
              </w:rPr>
              <w:t>88.5％</w:t>
            </w:r>
          </w:p>
        </w:tc>
      </w:tr>
      <w:tr w:rsidR="009154CE" w14:paraId="68C36B08" w14:textId="77777777" w:rsidTr="00673655">
        <w:trPr>
          <w:jc w:val="center"/>
        </w:trPr>
        <w:tc>
          <w:tcPr>
            <w:tcW w:w="3206" w:type="dxa"/>
            <w:vAlign w:val="center"/>
          </w:tcPr>
          <w:p w14:paraId="12943F37" w14:textId="6C88BAAC" w:rsidR="009154CE" w:rsidRPr="00673655" w:rsidRDefault="009154CE" w:rsidP="00673655">
            <w:pPr>
              <w:rPr>
                <w:rFonts w:ascii="Meiryo UI" w:hAnsi="Meiryo UI"/>
              </w:rPr>
            </w:pPr>
            <w:r w:rsidRPr="00673655">
              <w:rPr>
                <w:rFonts w:ascii="Meiryo UI" w:hAnsi="Meiryo UI" w:hint="eastAsia"/>
              </w:rPr>
              <w:t>有形固定資産減価償却率</w:t>
            </w:r>
          </w:p>
        </w:tc>
        <w:tc>
          <w:tcPr>
            <w:tcW w:w="1472" w:type="dxa"/>
            <w:vAlign w:val="center"/>
          </w:tcPr>
          <w:p w14:paraId="5C49CA44" w14:textId="6BAD66A0" w:rsidR="009154CE" w:rsidRPr="00673655" w:rsidRDefault="009154CE" w:rsidP="00673655">
            <w:pPr>
              <w:jc w:val="right"/>
              <w:rPr>
                <w:rFonts w:ascii="Meiryo UI" w:hAnsi="Meiryo UI"/>
              </w:rPr>
            </w:pPr>
            <w:r w:rsidRPr="00673655">
              <w:rPr>
                <w:rFonts w:ascii="Meiryo UI" w:hAnsi="Meiryo UI" w:hint="eastAsia"/>
              </w:rPr>
              <w:t>72.0%</w:t>
            </w:r>
          </w:p>
        </w:tc>
        <w:tc>
          <w:tcPr>
            <w:tcW w:w="1560" w:type="dxa"/>
            <w:vAlign w:val="center"/>
          </w:tcPr>
          <w:p w14:paraId="15E16FC4" w14:textId="0EA456B1" w:rsidR="009154CE" w:rsidRPr="00673655" w:rsidRDefault="009154CE" w:rsidP="00673655">
            <w:pPr>
              <w:jc w:val="right"/>
              <w:rPr>
                <w:rFonts w:ascii="Meiryo UI" w:hAnsi="Meiryo UI"/>
              </w:rPr>
            </w:pPr>
            <w:r w:rsidRPr="00673655">
              <w:rPr>
                <w:rFonts w:ascii="Meiryo UI" w:hAnsi="Meiryo UI" w:hint="eastAsia"/>
              </w:rPr>
              <w:t>72.2％</w:t>
            </w:r>
          </w:p>
        </w:tc>
        <w:tc>
          <w:tcPr>
            <w:tcW w:w="1559" w:type="dxa"/>
            <w:vAlign w:val="center"/>
          </w:tcPr>
          <w:p w14:paraId="04897C9C" w14:textId="35E87AE3" w:rsidR="009154CE" w:rsidRPr="00673655" w:rsidRDefault="009154CE" w:rsidP="00673655">
            <w:pPr>
              <w:jc w:val="right"/>
              <w:rPr>
                <w:rFonts w:ascii="Meiryo UI" w:hAnsi="Meiryo UI"/>
              </w:rPr>
            </w:pPr>
            <w:r w:rsidRPr="00673655">
              <w:rPr>
                <w:rFonts w:ascii="Meiryo UI" w:hAnsi="Meiryo UI" w:hint="eastAsia"/>
              </w:rPr>
              <w:t>73.2％</w:t>
            </w:r>
          </w:p>
        </w:tc>
        <w:tc>
          <w:tcPr>
            <w:tcW w:w="1417" w:type="dxa"/>
            <w:vAlign w:val="center"/>
          </w:tcPr>
          <w:p w14:paraId="297E2E50" w14:textId="0396A3B6" w:rsidR="009154CE" w:rsidRPr="00673655" w:rsidRDefault="009154CE" w:rsidP="00673655">
            <w:pPr>
              <w:jc w:val="right"/>
              <w:rPr>
                <w:rFonts w:ascii="Meiryo UI" w:hAnsi="Meiryo UI"/>
              </w:rPr>
            </w:pPr>
            <w:r w:rsidRPr="00673655">
              <w:rPr>
                <w:rFonts w:ascii="Meiryo UI" w:hAnsi="Meiryo UI" w:hint="eastAsia"/>
              </w:rPr>
              <w:t>73.6％</w:t>
            </w:r>
          </w:p>
        </w:tc>
      </w:tr>
      <w:tr w:rsidR="009154CE" w14:paraId="40C734FD" w14:textId="77777777" w:rsidTr="00673655">
        <w:trPr>
          <w:jc w:val="center"/>
        </w:trPr>
        <w:tc>
          <w:tcPr>
            <w:tcW w:w="3206" w:type="dxa"/>
            <w:vAlign w:val="center"/>
          </w:tcPr>
          <w:p w14:paraId="2BEE060C" w14:textId="47D6BB31" w:rsidR="009154CE" w:rsidRPr="00673655" w:rsidRDefault="009154CE" w:rsidP="004277A6">
            <w:pPr>
              <w:rPr>
                <w:rFonts w:ascii="Meiryo UI" w:hAnsi="Meiryo UI"/>
              </w:rPr>
            </w:pPr>
            <w:r w:rsidRPr="00673655">
              <w:rPr>
                <w:rFonts w:ascii="Meiryo UI" w:hAnsi="Meiryo UI" w:hint="eastAsia"/>
              </w:rPr>
              <w:t>企業債残高対料金収入比率</w:t>
            </w:r>
          </w:p>
        </w:tc>
        <w:tc>
          <w:tcPr>
            <w:tcW w:w="1472" w:type="dxa"/>
            <w:vAlign w:val="center"/>
          </w:tcPr>
          <w:p w14:paraId="656AC2AA" w14:textId="6801DCC3" w:rsidR="009154CE" w:rsidRPr="00673655" w:rsidRDefault="009154CE" w:rsidP="00673655">
            <w:pPr>
              <w:jc w:val="right"/>
              <w:rPr>
                <w:rFonts w:ascii="Meiryo UI" w:hAnsi="Meiryo UI"/>
              </w:rPr>
            </w:pPr>
            <w:r w:rsidRPr="00673655">
              <w:rPr>
                <w:rFonts w:ascii="Meiryo UI" w:hAnsi="Meiryo UI" w:hint="eastAsia"/>
              </w:rPr>
              <w:t>83.4％</w:t>
            </w:r>
          </w:p>
        </w:tc>
        <w:tc>
          <w:tcPr>
            <w:tcW w:w="1560" w:type="dxa"/>
            <w:vAlign w:val="center"/>
          </w:tcPr>
          <w:p w14:paraId="4BBAD876" w14:textId="0E1346A2" w:rsidR="009154CE" w:rsidRPr="00673655" w:rsidRDefault="009154CE" w:rsidP="00673655">
            <w:pPr>
              <w:jc w:val="right"/>
              <w:rPr>
                <w:rFonts w:ascii="Meiryo UI" w:hAnsi="Meiryo UI"/>
              </w:rPr>
            </w:pPr>
            <w:r w:rsidRPr="00673655">
              <w:rPr>
                <w:rFonts w:ascii="Meiryo UI" w:hAnsi="Meiryo UI" w:hint="eastAsia"/>
              </w:rPr>
              <w:t>97.6％</w:t>
            </w:r>
          </w:p>
        </w:tc>
        <w:tc>
          <w:tcPr>
            <w:tcW w:w="1559" w:type="dxa"/>
            <w:vAlign w:val="center"/>
          </w:tcPr>
          <w:p w14:paraId="5A0F0580" w14:textId="4BBA5DFE" w:rsidR="009154CE" w:rsidRPr="00673655" w:rsidRDefault="009154CE" w:rsidP="00673655">
            <w:pPr>
              <w:jc w:val="right"/>
              <w:rPr>
                <w:rFonts w:ascii="Meiryo UI" w:hAnsi="Meiryo UI"/>
              </w:rPr>
            </w:pPr>
            <w:r w:rsidRPr="00673655">
              <w:rPr>
                <w:rFonts w:ascii="Meiryo UI" w:hAnsi="Meiryo UI" w:hint="eastAsia"/>
              </w:rPr>
              <w:t>76.9％</w:t>
            </w:r>
          </w:p>
        </w:tc>
        <w:tc>
          <w:tcPr>
            <w:tcW w:w="1417" w:type="dxa"/>
            <w:vAlign w:val="center"/>
          </w:tcPr>
          <w:p w14:paraId="0D52E927" w14:textId="7B444CC3" w:rsidR="009154CE" w:rsidRPr="00673655" w:rsidRDefault="009154CE" w:rsidP="00673655">
            <w:pPr>
              <w:jc w:val="right"/>
              <w:rPr>
                <w:rFonts w:ascii="Meiryo UI" w:hAnsi="Meiryo UI"/>
              </w:rPr>
            </w:pPr>
            <w:r w:rsidRPr="00673655">
              <w:rPr>
                <w:rFonts w:ascii="Meiryo UI" w:hAnsi="Meiryo UI" w:hint="eastAsia"/>
              </w:rPr>
              <w:t>75.2％</w:t>
            </w:r>
          </w:p>
        </w:tc>
      </w:tr>
    </w:tbl>
    <w:p w14:paraId="3886F184" w14:textId="09F26645" w:rsidR="009154CE" w:rsidRDefault="009154CE" w:rsidP="004277A6">
      <w:pPr>
        <w:rPr>
          <w:rFonts w:ascii="Meiryo UI" w:hAnsi="Meiryo UI"/>
          <w:sz w:val="24"/>
        </w:rPr>
      </w:pPr>
    </w:p>
    <w:p w14:paraId="334A21D6" w14:textId="5EABCAC5" w:rsidR="00F61FCB" w:rsidRPr="00F61FCB" w:rsidRDefault="00F61FCB" w:rsidP="004277A6">
      <w:pPr>
        <w:rPr>
          <w:sz w:val="24"/>
        </w:rPr>
      </w:pPr>
      <w:r w:rsidRPr="00985B90">
        <w:rPr>
          <w:rFonts w:hint="eastAsia"/>
          <w:sz w:val="24"/>
        </w:rPr>
        <w:t>経営指標の説明及び評価</w:t>
      </w:r>
    </w:p>
    <w:tbl>
      <w:tblPr>
        <w:tblStyle w:val="ad"/>
        <w:tblW w:w="0" w:type="auto"/>
        <w:tblLook w:val="04A0" w:firstRow="1" w:lastRow="0" w:firstColumn="1" w:lastColumn="0" w:noHBand="0" w:noVBand="1"/>
      </w:tblPr>
      <w:tblGrid>
        <w:gridCol w:w="1555"/>
        <w:gridCol w:w="2409"/>
        <w:gridCol w:w="2835"/>
        <w:gridCol w:w="2830"/>
      </w:tblGrid>
      <w:tr w:rsidR="009154CE" w14:paraId="1E393515" w14:textId="77777777" w:rsidTr="00A761DB">
        <w:tc>
          <w:tcPr>
            <w:tcW w:w="1555" w:type="dxa"/>
            <w:shd w:val="clear" w:color="auto" w:fill="A6A6A6" w:themeFill="background1" w:themeFillShade="A6"/>
          </w:tcPr>
          <w:p w14:paraId="3230ED7A" w14:textId="4C401CA7" w:rsidR="009154CE" w:rsidRDefault="0063798A" w:rsidP="0063798A">
            <w:pPr>
              <w:jc w:val="center"/>
              <w:rPr>
                <w:rFonts w:ascii="Meiryo UI" w:hAnsi="Meiryo UI"/>
                <w:sz w:val="24"/>
              </w:rPr>
            </w:pPr>
            <w:r>
              <w:rPr>
                <w:rFonts w:ascii="Meiryo UI" w:hAnsi="Meiryo UI" w:hint="eastAsia"/>
                <w:sz w:val="24"/>
              </w:rPr>
              <w:t>指標名</w:t>
            </w:r>
          </w:p>
        </w:tc>
        <w:tc>
          <w:tcPr>
            <w:tcW w:w="2409" w:type="dxa"/>
            <w:shd w:val="clear" w:color="auto" w:fill="A6A6A6" w:themeFill="background1" w:themeFillShade="A6"/>
          </w:tcPr>
          <w:p w14:paraId="1A132D00" w14:textId="310C0E2F" w:rsidR="009154CE" w:rsidRDefault="0063798A" w:rsidP="0063798A">
            <w:pPr>
              <w:jc w:val="center"/>
              <w:rPr>
                <w:rFonts w:ascii="Meiryo UI" w:hAnsi="Meiryo UI"/>
                <w:sz w:val="24"/>
              </w:rPr>
            </w:pPr>
            <w:r>
              <w:rPr>
                <w:rFonts w:ascii="Meiryo UI" w:hAnsi="Meiryo UI" w:hint="eastAsia"/>
                <w:sz w:val="24"/>
              </w:rPr>
              <w:t>算定式</w:t>
            </w:r>
          </w:p>
        </w:tc>
        <w:tc>
          <w:tcPr>
            <w:tcW w:w="2835" w:type="dxa"/>
            <w:shd w:val="clear" w:color="auto" w:fill="A6A6A6" w:themeFill="background1" w:themeFillShade="A6"/>
          </w:tcPr>
          <w:p w14:paraId="6CB21E02" w14:textId="75E35FE2" w:rsidR="009154CE" w:rsidRDefault="0063798A" w:rsidP="0063798A">
            <w:pPr>
              <w:jc w:val="center"/>
              <w:rPr>
                <w:rFonts w:ascii="Meiryo UI" w:hAnsi="Meiryo UI"/>
                <w:sz w:val="24"/>
              </w:rPr>
            </w:pPr>
            <w:r>
              <w:rPr>
                <w:rFonts w:ascii="Meiryo UI" w:hAnsi="Meiryo UI" w:hint="eastAsia"/>
                <w:sz w:val="24"/>
              </w:rPr>
              <w:t>評価基準</w:t>
            </w:r>
          </w:p>
        </w:tc>
        <w:tc>
          <w:tcPr>
            <w:tcW w:w="2830" w:type="dxa"/>
            <w:shd w:val="clear" w:color="auto" w:fill="A6A6A6" w:themeFill="background1" w:themeFillShade="A6"/>
          </w:tcPr>
          <w:p w14:paraId="083617BC" w14:textId="0C6258F6" w:rsidR="009154CE" w:rsidRDefault="0063798A" w:rsidP="0063798A">
            <w:pPr>
              <w:jc w:val="center"/>
              <w:rPr>
                <w:rFonts w:ascii="Meiryo UI" w:hAnsi="Meiryo UI"/>
                <w:sz w:val="24"/>
              </w:rPr>
            </w:pPr>
            <w:r>
              <w:rPr>
                <w:rFonts w:ascii="Meiryo UI" w:hAnsi="Meiryo UI" w:hint="eastAsia"/>
                <w:sz w:val="24"/>
              </w:rPr>
              <w:t>評価</w:t>
            </w:r>
          </w:p>
        </w:tc>
      </w:tr>
      <w:tr w:rsidR="009154CE" w14:paraId="19B8E96C" w14:textId="77777777" w:rsidTr="0097569F">
        <w:tc>
          <w:tcPr>
            <w:tcW w:w="1555" w:type="dxa"/>
          </w:tcPr>
          <w:p w14:paraId="13B6196F" w14:textId="53777DF3" w:rsidR="009154CE" w:rsidRPr="00673655" w:rsidRDefault="0063798A" w:rsidP="0097569F">
            <w:pPr>
              <w:jc w:val="center"/>
              <w:rPr>
                <w:rFonts w:ascii="Meiryo UI" w:hAnsi="Meiryo UI"/>
                <w:sz w:val="20"/>
              </w:rPr>
            </w:pPr>
            <w:r w:rsidRPr="00673655">
              <w:rPr>
                <w:rFonts w:ascii="Meiryo UI" w:hAnsi="Meiryo UI" w:hint="eastAsia"/>
                <w:sz w:val="20"/>
              </w:rPr>
              <w:t>経常収支比率</w:t>
            </w:r>
          </w:p>
        </w:tc>
        <w:tc>
          <w:tcPr>
            <w:tcW w:w="2409" w:type="dxa"/>
          </w:tcPr>
          <w:p w14:paraId="4BFA70A5" w14:textId="26542413" w:rsidR="009154CE" w:rsidRPr="00673655" w:rsidRDefault="0063798A" w:rsidP="0097569F">
            <w:pPr>
              <w:jc w:val="center"/>
              <w:rPr>
                <w:rFonts w:ascii="Meiryo UI" w:hAnsi="Meiryo UI"/>
                <w:sz w:val="20"/>
              </w:rPr>
            </w:pPr>
            <w:r w:rsidRPr="00673655">
              <w:rPr>
                <w:rFonts w:ascii="Meiryo UI" w:hAnsi="Meiryo UI" w:hint="eastAsia"/>
                <w:sz w:val="20"/>
              </w:rPr>
              <w:t>経常収益/経常費用</w:t>
            </w:r>
          </w:p>
        </w:tc>
        <w:tc>
          <w:tcPr>
            <w:tcW w:w="2835" w:type="dxa"/>
          </w:tcPr>
          <w:p w14:paraId="61C0420E" w14:textId="4116109C" w:rsidR="009154CE" w:rsidRPr="00673655" w:rsidRDefault="0063798A" w:rsidP="004277A6">
            <w:pPr>
              <w:rPr>
                <w:rFonts w:ascii="Meiryo UI" w:hAnsi="Meiryo UI"/>
                <w:sz w:val="20"/>
              </w:rPr>
            </w:pPr>
            <w:r w:rsidRPr="00673655">
              <w:rPr>
                <w:rFonts w:ascii="Meiryo UI" w:hAnsi="Meiryo UI" w:hint="eastAsia"/>
                <w:sz w:val="20"/>
              </w:rPr>
              <w:t>経常費用を経常収益でどの程度賄えているかを示す数値で、100％以上が望ましい</w:t>
            </w:r>
          </w:p>
        </w:tc>
        <w:tc>
          <w:tcPr>
            <w:tcW w:w="2830" w:type="dxa"/>
          </w:tcPr>
          <w:p w14:paraId="27B3044E" w14:textId="35020BDF" w:rsidR="009154CE" w:rsidRPr="00673655" w:rsidRDefault="00531284" w:rsidP="004277A6">
            <w:pPr>
              <w:rPr>
                <w:rFonts w:ascii="Meiryo UI" w:hAnsi="Meiryo UI"/>
                <w:sz w:val="20"/>
              </w:rPr>
            </w:pPr>
            <w:r>
              <w:rPr>
                <w:rFonts w:ascii="Meiryo UI" w:hAnsi="Meiryo UI" w:hint="eastAsia"/>
                <w:sz w:val="20"/>
              </w:rPr>
              <w:t>2019</w:t>
            </w:r>
            <w:r w:rsidR="00673655">
              <w:rPr>
                <w:rFonts w:ascii="Meiryo UI" w:hAnsi="Meiryo UI" w:hint="eastAsia"/>
                <w:sz w:val="20"/>
              </w:rPr>
              <w:t>年度以降は100％を超えており、良好と考えられる</w:t>
            </w:r>
          </w:p>
        </w:tc>
      </w:tr>
      <w:tr w:rsidR="009154CE" w14:paraId="6137EB94" w14:textId="77777777" w:rsidTr="0097569F">
        <w:tc>
          <w:tcPr>
            <w:tcW w:w="1555" w:type="dxa"/>
          </w:tcPr>
          <w:p w14:paraId="65DF99D7" w14:textId="3CBA9604" w:rsidR="009154CE" w:rsidRPr="00673655" w:rsidRDefault="0063798A" w:rsidP="0097569F">
            <w:pPr>
              <w:jc w:val="center"/>
              <w:rPr>
                <w:rFonts w:ascii="Meiryo UI" w:hAnsi="Meiryo UI"/>
                <w:sz w:val="20"/>
              </w:rPr>
            </w:pPr>
            <w:r w:rsidRPr="00673655">
              <w:rPr>
                <w:rFonts w:ascii="Meiryo UI" w:hAnsi="Meiryo UI" w:hint="eastAsia"/>
                <w:sz w:val="20"/>
              </w:rPr>
              <w:t>経費回収率</w:t>
            </w:r>
          </w:p>
        </w:tc>
        <w:tc>
          <w:tcPr>
            <w:tcW w:w="2409" w:type="dxa"/>
          </w:tcPr>
          <w:p w14:paraId="2492ED35" w14:textId="77777777" w:rsidR="0063798A" w:rsidRPr="00673655" w:rsidRDefault="0063798A" w:rsidP="0097569F">
            <w:pPr>
              <w:jc w:val="center"/>
              <w:rPr>
                <w:rFonts w:ascii="Meiryo UI" w:hAnsi="Meiryo UI"/>
                <w:sz w:val="20"/>
              </w:rPr>
            </w:pPr>
            <w:r w:rsidRPr="00673655">
              <w:rPr>
                <w:rFonts w:ascii="Meiryo UI" w:hAnsi="Meiryo UI" w:hint="eastAsia"/>
                <w:sz w:val="20"/>
              </w:rPr>
              <w:t>納付金等収益/</w:t>
            </w:r>
          </w:p>
          <w:p w14:paraId="4E1DC37E" w14:textId="129CCDE1" w:rsidR="009154CE" w:rsidRPr="00673655" w:rsidRDefault="0063798A" w:rsidP="0097569F">
            <w:pPr>
              <w:jc w:val="center"/>
              <w:rPr>
                <w:rFonts w:ascii="Meiryo UI" w:hAnsi="Meiryo UI"/>
                <w:sz w:val="20"/>
              </w:rPr>
            </w:pPr>
            <w:r w:rsidRPr="00673655">
              <w:rPr>
                <w:rFonts w:ascii="Meiryo UI" w:hAnsi="Meiryo UI" w:hint="eastAsia"/>
                <w:sz w:val="20"/>
              </w:rPr>
              <w:t>経常費用</w:t>
            </w:r>
          </w:p>
        </w:tc>
        <w:tc>
          <w:tcPr>
            <w:tcW w:w="2835" w:type="dxa"/>
          </w:tcPr>
          <w:p w14:paraId="66E19250" w14:textId="521AEE01" w:rsidR="009154CE" w:rsidRPr="00673655" w:rsidRDefault="0063798A" w:rsidP="004277A6">
            <w:pPr>
              <w:rPr>
                <w:rFonts w:ascii="Meiryo UI" w:hAnsi="Meiryo UI"/>
                <w:sz w:val="20"/>
              </w:rPr>
            </w:pPr>
            <w:r w:rsidRPr="00673655">
              <w:rPr>
                <w:rFonts w:ascii="Meiryo UI" w:hAnsi="Meiryo UI" w:hint="eastAsia"/>
                <w:sz w:val="20"/>
              </w:rPr>
              <w:t>納付金等</w:t>
            </w:r>
            <w:r w:rsidR="00673655">
              <w:rPr>
                <w:rFonts w:ascii="Meiryo UI" w:hAnsi="Meiryo UI" w:hint="eastAsia"/>
                <w:sz w:val="20"/>
              </w:rPr>
              <w:t>収益</w:t>
            </w:r>
            <w:r w:rsidRPr="00673655">
              <w:rPr>
                <w:rFonts w:ascii="Meiryo UI" w:hAnsi="Meiryo UI" w:hint="eastAsia"/>
                <w:sz w:val="20"/>
              </w:rPr>
              <w:t>で必要な費用を回収できているかを示す数値で高い方が望ましい</w:t>
            </w:r>
          </w:p>
        </w:tc>
        <w:tc>
          <w:tcPr>
            <w:tcW w:w="2830" w:type="dxa"/>
          </w:tcPr>
          <w:p w14:paraId="76B6E339" w14:textId="7BB2856D" w:rsidR="009154CE" w:rsidRPr="00673655" w:rsidRDefault="00531284" w:rsidP="004277A6">
            <w:pPr>
              <w:rPr>
                <w:rFonts w:ascii="Meiryo UI" w:hAnsi="Meiryo UI"/>
                <w:sz w:val="20"/>
              </w:rPr>
            </w:pPr>
            <w:r>
              <w:rPr>
                <w:rFonts w:ascii="Meiryo UI" w:hAnsi="Meiryo UI" w:hint="eastAsia"/>
                <w:sz w:val="20"/>
              </w:rPr>
              <w:t>2019</w:t>
            </w:r>
            <w:r w:rsidR="00673655">
              <w:rPr>
                <w:rFonts w:ascii="Meiryo UI" w:hAnsi="Meiryo UI" w:hint="eastAsia"/>
                <w:sz w:val="20"/>
              </w:rPr>
              <w:t>年度以降は100％を超えており、良好と考えられる</w:t>
            </w:r>
          </w:p>
        </w:tc>
      </w:tr>
      <w:tr w:rsidR="009154CE" w14:paraId="3491CAF6" w14:textId="77777777" w:rsidTr="0097569F">
        <w:tc>
          <w:tcPr>
            <w:tcW w:w="1555" w:type="dxa"/>
          </w:tcPr>
          <w:p w14:paraId="5ABC77E3" w14:textId="77777777" w:rsidR="0063798A" w:rsidRPr="00673655" w:rsidRDefault="0063798A" w:rsidP="0097569F">
            <w:pPr>
              <w:jc w:val="center"/>
              <w:rPr>
                <w:rFonts w:ascii="Meiryo UI" w:hAnsi="Meiryo UI"/>
                <w:sz w:val="20"/>
              </w:rPr>
            </w:pPr>
            <w:r w:rsidRPr="00673655">
              <w:rPr>
                <w:rFonts w:ascii="Meiryo UI" w:hAnsi="Meiryo UI" w:hint="eastAsia"/>
                <w:sz w:val="20"/>
              </w:rPr>
              <w:t>他会計補助金</w:t>
            </w:r>
          </w:p>
          <w:p w14:paraId="39557FEE" w14:textId="21051327" w:rsidR="009154CE" w:rsidRPr="00673655" w:rsidRDefault="0063798A" w:rsidP="0097569F">
            <w:pPr>
              <w:jc w:val="center"/>
              <w:rPr>
                <w:rFonts w:ascii="Meiryo UI" w:hAnsi="Meiryo UI"/>
                <w:sz w:val="20"/>
              </w:rPr>
            </w:pPr>
            <w:r w:rsidRPr="00673655">
              <w:rPr>
                <w:rFonts w:ascii="Meiryo UI" w:hAnsi="Meiryo UI" w:hint="eastAsia"/>
                <w:sz w:val="20"/>
              </w:rPr>
              <w:t>比率</w:t>
            </w:r>
          </w:p>
        </w:tc>
        <w:tc>
          <w:tcPr>
            <w:tcW w:w="2409" w:type="dxa"/>
          </w:tcPr>
          <w:p w14:paraId="3C723EB0" w14:textId="77777777" w:rsidR="009154CE" w:rsidRPr="00673655" w:rsidRDefault="0063798A" w:rsidP="0097569F">
            <w:pPr>
              <w:jc w:val="center"/>
              <w:rPr>
                <w:rFonts w:ascii="Meiryo UI" w:hAnsi="Meiryo UI"/>
                <w:sz w:val="20"/>
              </w:rPr>
            </w:pPr>
            <w:r w:rsidRPr="00673655">
              <w:rPr>
                <w:rFonts w:ascii="Meiryo UI" w:hAnsi="Meiryo UI" w:hint="eastAsia"/>
                <w:sz w:val="20"/>
              </w:rPr>
              <w:t>他会計補助金/</w:t>
            </w:r>
          </w:p>
          <w:p w14:paraId="2019AE45" w14:textId="7D8F8FA4" w:rsidR="0063798A" w:rsidRPr="00673655" w:rsidRDefault="0063798A" w:rsidP="0097569F">
            <w:pPr>
              <w:jc w:val="center"/>
              <w:rPr>
                <w:rFonts w:ascii="Meiryo UI" w:hAnsi="Meiryo UI"/>
                <w:sz w:val="20"/>
              </w:rPr>
            </w:pPr>
            <w:r w:rsidRPr="00673655">
              <w:rPr>
                <w:rFonts w:ascii="Meiryo UI" w:hAnsi="Meiryo UI" w:hint="eastAsia"/>
                <w:sz w:val="20"/>
              </w:rPr>
              <w:t>経常費用</w:t>
            </w:r>
          </w:p>
        </w:tc>
        <w:tc>
          <w:tcPr>
            <w:tcW w:w="2835" w:type="dxa"/>
          </w:tcPr>
          <w:p w14:paraId="143F5A9F" w14:textId="20062395" w:rsidR="009154CE" w:rsidRPr="00673655" w:rsidRDefault="0063798A" w:rsidP="004277A6">
            <w:pPr>
              <w:rPr>
                <w:rFonts w:ascii="Meiryo UI" w:hAnsi="Meiryo UI"/>
                <w:sz w:val="20"/>
              </w:rPr>
            </w:pPr>
            <w:r w:rsidRPr="00673655">
              <w:rPr>
                <w:rFonts w:ascii="Meiryo UI" w:hAnsi="Meiryo UI" w:hint="eastAsia"/>
                <w:sz w:val="20"/>
              </w:rPr>
              <w:t>必要な経費が一般会計からの繰入金等によってどの程度賄えているかを示す数値で、低い方が望ましい</w:t>
            </w:r>
          </w:p>
        </w:tc>
        <w:tc>
          <w:tcPr>
            <w:tcW w:w="2830" w:type="dxa"/>
          </w:tcPr>
          <w:p w14:paraId="5D843929" w14:textId="1F692106" w:rsidR="009154CE" w:rsidRPr="00673655" w:rsidRDefault="00673655" w:rsidP="004277A6">
            <w:pPr>
              <w:rPr>
                <w:rFonts w:ascii="Meiryo UI" w:hAnsi="Meiryo UI"/>
                <w:sz w:val="20"/>
              </w:rPr>
            </w:pPr>
            <w:r>
              <w:rPr>
                <w:rFonts w:ascii="Meiryo UI" w:hAnsi="Meiryo UI" w:hint="eastAsia"/>
                <w:sz w:val="20"/>
              </w:rPr>
              <w:t>10％前後となっており、他会計補助金への依存度が低く、良好と考えらえる</w:t>
            </w:r>
          </w:p>
        </w:tc>
      </w:tr>
      <w:tr w:rsidR="009154CE" w14:paraId="19E02ECB" w14:textId="77777777" w:rsidTr="0097569F">
        <w:tc>
          <w:tcPr>
            <w:tcW w:w="1555" w:type="dxa"/>
          </w:tcPr>
          <w:p w14:paraId="58241CE0" w14:textId="473ADF7D" w:rsidR="009154CE" w:rsidRPr="00673655" w:rsidRDefault="0063798A" w:rsidP="0097569F">
            <w:pPr>
              <w:jc w:val="center"/>
              <w:rPr>
                <w:rFonts w:ascii="Meiryo UI" w:hAnsi="Meiryo UI"/>
                <w:sz w:val="20"/>
              </w:rPr>
            </w:pPr>
            <w:r w:rsidRPr="00673655">
              <w:rPr>
                <w:rFonts w:ascii="Meiryo UI" w:hAnsi="Meiryo UI" w:hint="eastAsia"/>
                <w:sz w:val="20"/>
              </w:rPr>
              <w:t>自己資本比率</w:t>
            </w:r>
          </w:p>
        </w:tc>
        <w:tc>
          <w:tcPr>
            <w:tcW w:w="2409" w:type="dxa"/>
          </w:tcPr>
          <w:p w14:paraId="7C74B196" w14:textId="4081CAA8" w:rsidR="009154CE" w:rsidRPr="00673655" w:rsidRDefault="0097569F" w:rsidP="0097569F">
            <w:pPr>
              <w:ind w:leftChars="-78" w:left="-172"/>
              <w:jc w:val="center"/>
              <w:rPr>
                <w:rFonts w:ascii="Meiryo UI" w:hAnsi="Meiryo UI"/>
                <w:sz w:val="20"/>
              </w:rPr>
            </w:pPr>
            <w:r>
              <w:rPr>
                <w:rFonts w:ascii="Meiryo UI" w:hAnsi="Meiryo UI" w:hint="eastAsia"/>
                <w:sz w:val="20"/>
              </w:rPr>
              <w:t>(</w:t>
            </w:r>
            <w:r w:rsidRPr="00673655">
              <w:rPr>
                <w:rFonts w:ascii="Meiryo UI" w:hAnsi="Meiryo UI" w:hint="eastAsia"/>
                <w:sz w:val="20"/>
              </w:rPr>
              <w:t>自己資本金+剰余金+</w:t>
            </w:r>
            <w:r>
              <w:rPr>
                <w:rFonts w:ascii="Meiryo UI" w:hAnsi="Meiryo UI" w:hint="eastAsia"/>
                <w:sz w:val="20"/>
              </w:rPr>
              <w:t>繰延収益)</w:t>
            </w:r>
            <w:r w:rsidR="0063798A" w:rsidRPr="00673655">
              <w:rPr>
                <w:rFonts w:ascii="Meiryo UI" w:hAnsi="Meiryo UI" w:hint="eastAsia"/>
                <w:sz w:val="20"/>
              </w:rPr>
              <w:t>/負債・資本合計</w:t>
            </w:r>
          </w:p>
        </w:tc>
        <w:tc>
          <w:tcPr>
            <w:tcW w:w="2835" w:type="dxa"/>
          </w:tcPr>
          <w:p w14:paraId="23CDBD22" w14:textId="42389B1F" w:rsidR="009154CE" w:rsidRPr="00673655" w:rsidRDefault="0063798A" w:rsidP="004277A6">
            <w:pPr>
              <w:rPr>
                <w:rFonts w:ascii="Meiryo UI" w:hAnsi="Meiryo UI"/>
                <w:sz w:val="20"/>
              </w:rPr>
            </w:pPr>
            <w:r w:rsidRPr="00673655">
              <w:rPr>
                <w:rFonts w:ascii="Meiryo UI" w:hAnsi="Meiryo UI" w:hint="eastAsia"/>
                <w:sz w:val="20"/>
              </w:rPr>
              <w:t>負債及び純資産の</w:t>
            </w:r>
            <w:r w:rsidR="00673655" w:rsidRPr="00673655">
              <w:rPr>
                <w:rFonts w:ascii="Meiryo UI" w:hAnsi="Meiryo UI" w:hint="eastAsia"/>
                <w:sz w:val="20"/>
              </w:rPr>
              <w:t>合計額にどの程度純資産が占めているかを示す数値で、高い方が望ましい</w:t>
            </w:r>
          </w:p>
        </w:tc>
        <w:tc>
          <w:tcPr>
            <w:tcW w:w="2830" w:type="dxa"/>
          </w:tcPr>
          <w:p w14:paraId="26DD7BB9" w14:textId="2A872257" w:rsidR="009154CE" w:rsidRPr="00673655" w:rsidRDefault="00673655" w:rsidP="004277A6">
            <w:pPr>
              <w:rPr>
                <w:rFonts w:ascii="Meiryo UI" w:hAnsi="Meiryo UI"/>
                <w:sz w:val="20"/>
              </w:rPr>
            </w:pPr>
            <w:r>
              <w:rPr>
                <w:rFonts w:ascii="Meiryo UI" w:hAnsi="Meiryo UI" w:hint="eastAsia"/>
                <w:sz w:val="20"/>
              </w:rPr>
              <w:t>70～80</w:t>
            </w:r>
            <w:r w:rsidR="0097569F">
              <w:rPr>
                <w:rFonts w:ascii="Meiryo UI" w:hAnsi="Meiryo UI" w:hint="eastAsia"/>
                <w:sz w:val="20"/>
              </w:rPr>
              <w:t>％台で推移しており、良好と考えられ</w:t>
            </w:r>
            <w:r>
              <w:rPr>
                <w:rFonts w:ascii="Meiryo UI" w:hAnsi="Meiryo UI" w:hint="eastAsia"/>
                <w:sz w:val="20"/>
              </w:rPr>
              <w:t>る</w:t>
            </w:r>
          </w:p>
        </w:tc>
      </w:tr>
      <w:tr w:rsidR="009154CE" w14:paraId="43F8BF29" w14:textId="77777777" w:rsidTr="0097569F">
        <w:tc>
          <w:tcPr>
            <w:tcW w:w="1555" w:type="dxa"/>
          </w:tcPr>
          <w:p w14:paraId="667E941D" w14:textId="77777777" w:rsidR="0063798A" w:rsidRPr="00673655" w:rsidRDefault="0063798A" w:rsidP="0097569F">
            <w:pPr>
              <w:jc w:val="center"/>
              <w:rPr>
                <w:rFonts w:ascii="Meiryo UI" w:hAnsi="Meiryo UI"/>
                <w:sz w:val="20"/>
              </w:rPr>
            </w:pPr>
            <w:r w:rsidRPr="00673655">
              <w:rPr>
                <w:rFonts w:ascii="Meiryo UI" w:hAnsi="Meiryo UI" w:hint="eastAsia"/>
                <w:sz w:val="20"/>
              </w:rPr>
              <w:t>有形固定資産</w:t>
            </w:r>
          </w:p>
          <w:p w14:paraId="486FD945" w14:textId="02F0AF37" w:rsidR="009154CE" w:rsidRPr="00673655" w:rsidRDefault="0063798A" w:rsidP="0097569F">
            <w:pPr>
              <w:jc w:val="center"/>
              <w:rPr>
                <w:rFonts w:ascii="Meiryo UI" w:hAnsi="Meiryo UI"/>
                <w:sz w:val="20"/>
              </w:rPr>
            </w:pPr>
            <w:r w:rsidRPr="00673655">
              <w:rPr>
                <w:rFonts w:ascii="Meiryo UI" w:hAnsi="Meiryo UI" w:hint="eastAsia"/>
                <w:sz w:val="20"/>
              </w:rPr>
              <w:t>減価償却率</w:t>
            </w:r>
          </w:p>
        </w:tc>
        <w:tc>
          <w:tcPr>
            <w:tcW w:w="2409" w:type="dxa"/>
          </w:tcPr>
          <w:p w14:paraId="05EEF666" w14:textId="0BBC8544" w:rsidR="009154CE" w:rsidRPr="00673655" w:rsidRDefault="0029175F" w:rsidP="0097569F">
            <w:pPr>
              <w:jc w:val="center"/>
              <w:rPr>
                <w:rFonts w:ascii="Meiryo UI" w:hAnsi="Meiryo UI"/>
                <w:sz w:val="20"/>
              </w:rPr>
            </w:pPr>
            <w:r>
              <w:rPr>
                <w:rFonts w:ascii="Meiryo UI" w:hAnsi="Meiryo UI" w:hint="eastAsia"/>
                <w:sz w:val="20"/>
              </w:rPr>
              <w:t>有形固定資産減価償却累</w:t>
            </w:r>
            <w:r w:rsidR="0063798A" w:rsidRPr="00673655">
              <w:rPr>
                <w:rFonts w:ascii="Meiryo UI" w:hAnsi="Meiryo UI" w:hint="eastAsia"/>
                <w:sz w:val="20"/>
              </w:rPr>
              <w:t>計額/有形固定資産帳簿価格</w:t>
            </w:r>
          </w:p>
        </w:tc>
        <w:tc>
          <w:tcPr>
            <w:tcW w:w="2835" w:type="dxa"/>
          </w:tcPr>
          <w:p w14:paraId="3B6F61B9" w14:textId="0A8FF2AD" w:rsidR="009154CE" w:rsidRPr="00673655" w:rsidRDefault="00673655" w:rsidP="004277A6">
            <w:pPr>
              <w:rPr>
                <w:rFonts w:ascii="Meiryo UI" w:hAnsi="Meiryo UI"/>
                <w:sz w:val="20"/>
              </w:rPr>
            </w:pPr>
            <w:r w:rsidRPr="00673655">
              <w:rPr>
                <w:rFonts w:ascii="Meiryo UI" w:hAnsi="Meiryo UI" w:hint="eastAsia"/>
                <w:sz w:val="20"/>
              </w:rPr>
              <w:t>有形固定資産の老朽化の程度を示すもので、高いほど老朽化が進んでいるとされている</w:t>
            </w:r>
          </w:p>
        </w:tc>
        <w:tc>
          <w:tcPr>
            <w:tcW w:w="2830" w:type="dxa"/>
          </w:tcPr>
          <w:p w14:paraId="3B04D8AA" w14:textId="229AB99B" w:rsidR="009154CE" w:rsidRPr="00673655" w:rsidRDefault="00673655" w:rsidP="004277A6">
            <w:pPr>
              <w:rPr>
                <w:rFonts w:ascii="Meiryo UI" w:hAnsi="Meiryo UI"/>
                <w:sz w:val="20"/>
              </w:rPr>
            </w:pPr>
            <w:r>
              <w:rPr>
                <w:rFonts w:ascii="Meiryo UI" w:hAnsi="Meiryo UI" w:hint="eastAsia"/>
                <w:sz w:val="20"/>
              </w:rPr>
              <w:t>70％台と高い数</w:t>
            </w:r>
            <w:r w:rsidR="0029175F">
              <w:rPr>
                <w:rFonts w:ascii="Meiryo UI" w:hAnsi="Meiryo UI" w:hint="eastAsia"/>
                <w:sz w:val="20"/>
              </w:rPr>
              <w:t>値となっており、施設や設備の老朽化が進んでいる</w:t>
            </w:r>
          </w:p>
        </w:tc>
      </w:tr>
      <w:tr w:rsidR="009154CE" w14:paraId="48E36B2E" w14:textId="77777777" w:rsidTr="0097569F">
        <w:tc>
          <w:tcPr>
            <w:tcW w:w="1555" w:type="dxa"/>
          </w:tcPr>
          <w:p w14:paraId="31EC0305" w14:textId="77777777" w:rsidR="0063798A" w:rsidRPr="00673655" w:rsidRDefault="0063798A" w:rsidP="0097569F">
            <w:pPr>
              <w:jc w:val="center"/>
              <w:rPr>
                <w:rFonts w:ascii="Meiryo UI" w:hAnsi="Meiryo UI"/>
                <w:sz w:val="20"/>
              </w:rPr>
            </w:pPr>
            <w:r w:rsidRPr="00673655">
              <w:rPr>
                <w:rFonts w:ascii="Meiryo UI" w:hAnsi="Meiryo UI" w:hint="eastAsia"/>
                <w:sz w:val="20"/>
              </w:rPr>
              <w:t>企業債残高対</w:t>
            </w:r>
          </w:p>
          <w:p w14:paraId="38CA53B9" w14:textId="1FD67FC7" w:rsidR="009154CE" w:rsidRPr="00673655" w:rsidRDefault="0063798A" w:rsidP="0097569F">
            <w:pPr>
              <w:jc w:val="center"/>
              <w:rPr>
                <w:rFonts w:ascii="Meiryo UI" w:hAnsi="Meiryo UI"/>
                <w:sz w:val="20"/>
              </w:rPr>
            </w:pPr>
            <w:r w:rsidRPr="00673655">
              <w:rPr>
                <w:rFonts w:ascii="Meiryo UI" w:hAnsi="Meiryo UI" w:hint="eastAsia"/>
                <w:sz w:val="20"/>
              </w:rPr>
              <w:t>料金収入比率</w:t>
            </w:r>
          </w:p>
        </w:tc>
        <w:tc>
          <w:tcPr>
            <w:tcW w:w="2409" w:type="dxa"/>
          </w:tcPr>
          <w:p w14:paraId="44FAB327" w14:textId="36360D24" w:rsidR="009154CE" w:rsidRPr="00673655" w:rsidRDefault="0063798A" w:rsidP="0097569F">
            <w:pPr>
              <w:jc w:val="center"/>
              <w:rPr>
                <w:rFonts w:ascii="Meiryo UI" w:hAnsi="Meiryo UI"/>
                <w:sz w:val="20"/>
              </w:rPr>
            </w:pPr>
            <w:r w:rsidRPr="00673655">
              <w:rPr>
                <w:rFonts w:ascii="Meiryo UI" w:hAnsi="Meiryo UI" w:hint="eastAsia"/>
                <w:sz w:val="20"/>
              </w:rPr>
              <w:t>(企業債残高</w:t>
            </w:r>
            <w:proofErr w:type="gramStart"/>
            <w:r w:rsidRPr="00673655">
              <w:rPr>
                <w:rFonts w:ascii="Meiryo UI" w:hAnsi="Meiryo UI" w:hint="eastAsia"/>
                <w:sz w:val="20"/>
              </w:rPr>
              <w:t>ー</w:t>
            </w:r>
            <w:proofErr w:type="gramEnd"/>
            <w:r w:rsidRPr="00673655">
              <w:rPr>
                <w:rFonts w:ascii="Meiryo UI" w:hAnsi="Meiryo UI" w:hint="eastAsia"/>
                <w:sz w:val="20"/>
              </w:rPr>
              <w:t>一般会計負担金)/納付金等収入</w:t>
            </w:r>
          </w:p>
        </w:tc>
        <w:tc>
          <w:tcPr>
            <w:tcW w:w="2835" w:type="dxa"/>
          </w:tcPr>
          <w:p w14:paraId="60B7BBED" w14:textId="7D3991D1" w:rsidR="009154CE" w:rsidRPr="00673655" w:rsidRDefault="00673655" w:rsidP="004277A6">
            <w:pPr>
              <w:rPr>
                <w:rFonts w:ascii="Meiryo UI" w:hAnsi="Meiryo UI"/>
                <w:sz w:val="20"/>
              </w:rPr>
            </w:pPr>
            <w:r>
              <w:rPr>
                <w:rFonts w:ascii="Meiryo UI" w:hAnsi="Meiryo UI" w:hint="eastAsia"/>
                <w:sz w:val="20"/>
              </w:rPr>
              <w:t>納付金等収益に対する企業債残高(一般会計負担分を除く)の割合を示す数値で、低いほど望ましい</w:t>
            </w:r>
          </w:p>
        </w:tc>
        <w:tc>
          <w:tcPr>
            <w:tcW w:w="2830" w:type="dxa"/>
          </w:tcPr>
          <w:p w14:paraId="03B16E5C" w14:textId="72C78EA9" w:rsidR="009154CE" w:rsidRPr="00673655" w:rsidRDefault="00F61FCB" w:rsidP="004277A6">
            <w:pPr>
              <w:rPr>
                <w:rFonts w:ascii="Meiryo UI" w:hAnsi="Meiryo UI"/>
                <w:sz w:val="20"/>
              </w:rPr>
            </w:pPr>
            <w:r>
              <w:rPr>
                <w:rFonts w:ascii="Meiryo UI" w:hAnsi="Meiryo UI" w:hint="eastAsia"/>
                <w:sz w:val="20"/>
              </w:rPr>
              <w:t>年々減少しており、良い傾向にあると考えられる</w:t>
            </w:r>
          </w:p>
        </w:tc>
      </w:tr>
    </w:tbl>
    <w:p w14:paraId="20082532" w14:textId="7387A93B" w:rsidR="009154CE" w:rsidRDefault="009154CE" w:rsidP="004277A6">
      <w:pPr>
        <w:rPr>
          <w:rFonts w:ascii="Meiryo UI" w:hAnsi="Meiryo UI"/>
          <w:sz w:val="24"/>
        </w:rPr>
      </w:pPr>
    </w:p>
    <w:p w14:paraId="5B58ED2C" w14:textId="0D1FF6A2" w:rsidR="004277A6" w:rsidRDefault="004277A6" w:rsidP="00FD1C12"/>
    <w:p w14:paraId="6EE00326" w14:textId="233F00BE" w:rsidR="00982BEA" w:rsidRDefault="00982BEA" w:rsidP="00FD1C12">
      <w:r w:rsidRPr="00582C3D">
        <w:rPr>
          <w:noProof/>
        </w:rPr>
        <mc:AlternateContent>
          <mc:Choice Requires="wps">
            <w:drawing>
              <wp:anchor distT="0" distB="0" distL="114300" distR="114300" simplePos="0" relativeHeight="251670528" behindDoc="0" locked="0" layoutInCell="1" allowOverlap="1" wp14:anchorId="1A62854F" wp14:editId="76C39BEA">
                <wp:simplePos x="0" y="0"/>
                <wp:positionH relativeFrom="column">
                  <wp:posOffset>0</wp:posOffset>
                </wp:positionH>
                <wp:positionV relativeFrom="paragraph">
                  <wp:posOffset>46990</wp:posOffset>
                </wp:positionV>
                <wp:extent cx="6096000" cy="395605"/>
                <wp:effectExtent l="0" t="0" r="19050" b="23495"/>
                <wp:wrapNone/>
                <wp:docPr id="11" name="ホームベース 11"/>
                <wp:cNvGraphicFramePr/>
                <a:graphic xmlns:a="http://schemas.openxmlformats.org/drawingml/2006/main">
                  <a:graphicData uri="http://schemas.microsoft.com/office/word/2010/wordprocessingShape">
                    <wps:wsp>
                      <wps:cNvSpPr/>
                      <wps:spPr>
                        <a:xfrm>
                          <a:off x="0" y="0"/>
                          <a:ext cx="6096000" cy="395605"/>
                        </a:xfrm>
                        <a:prstGeom prst="homePlate">
                          <a:avLst/>
                        </a:prstGeom>
                        <a:solidFill>
                          <a:sysClr val="window" lastClr="FFFFFF"/>
                        </a:solidFill>
                        <a:ln w="25400" cap="flat" cmpd="sng" algn="ctr">
                          <a:solidFill>
                            <a:srgbClr val="002060"/>
                          </a:solidFill>
                          <a:prstDash val="solid"/>
                        </a:ln>
                        <a:effectLst/>
                      </wps:spPr>
                      <wps:txbx>
                        <w:txbxContent>
                          <w:p w14:paraId="70573DB4" w14:textId="7071AD3A" w:rsidR="00982BEA" w:rsidRPr="00563516" w:rsidRDefault="00982BEA" w:rsidP="00982BEA">
                            <w:pPr>
                              <w:rPr>
                                <w:sz w:val="32"/>
                                <w:szCs w:val="32"/>
                              </w:rPr>
                            </w:pPr>
                            <w:r>
                              <w:rPr>
                                <w:rFonts w:hint="eastAsia"/>
                                <w:sz w:val="32"/>
                                <w:szCs w:val="32"/>
                              </w:rPr>
                              <w:t>２　今後５</w:t>
                            </w:r>
                            <w:r>
                              <w:rPr>
                                <w:sz w:val="32"/>
                                <w:szCs w:val="32"/>
                              </w:rPr>
                              <w:t>年間の</w:t>
                            </w:r>
                            <w:r>
                              <w:rPr>
                                <w:rFonts w:hint="eastAsia"/>
                                <w:sz w:val="32"/>
                                <w:szCs w:val="32"/>
                              </w:rPr>
                              <w:t>投資財政計画</w:t>
                            </w:r>
                            <w:r>
                              <w:rPr>
                                <w:sz w:val="32"/>
                                <w:szCs w:val="32"/>
                              </w:rPr>
                              <w:t>（</w:t>
                            </w:r>
                            <w:r>
                              <w:rPr>
                                <w:rFonts w:hint="eastAsia"/>
                                <w:sz w:val="32"/>
                                <w:szCs w:val="32"/>
                              </w:rPr>
                              <w:t>収支計画）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2854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 o:spid="_x0000_s1032" type="#_x0000_t15" style="position:absolute;left:0;text-align:left;margin-left:0;margin-top:3.7pt;width:480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" adj="20899" fillcolor="window" strokecolor="#002060" strokeweight="2pt">
                <v:textbox inset=",0,,0">
                  <w:txbxContent>
                    <w:p w14:paraId="70573DB4" w14:textId="7071AD3A" w:rsidR="00982BEA" w:rsidRPr="00563516" w:rsidRDefault="00982BEA" w:rsidP="00982BEA">
                      <w:pPr>
                        <w:rPr>
                          <w:sz w:val="32"/>
                          <w:szCs w:val="32"/>
                        </w:rPr>
                      </w:pPr>
                      <w:r>
                        <w:rPr>
                          <w:rFonts w:hint="eastAsia"/>
                          <w:sz w:val="32"/>
                          <w:szCs w:val="32"/>
                        </w:rPr>
                        <w:t>２　今後５</w:t>
                      </w:r>
                      <w:r>
                        <w:rPr>
                          <w:sz w:val="32"/>
                          <w:szCs w:val="32"/>
                        </w:rPr>
                        <w:t>年間の</w:t>
                      </w:r>
                      <w:r>
                        <w:rPr>
                          <w:rFonts w:hint="eastAsia"/>
                          <w:sz w:val="32"/>
                          <w:szCs w:val="32"/>
                        </w:rPr>
                        <w:t>投資財政計画</w:t>
                      </w:r>
                      <w:r>
                        <w:rPr>
                          <w:sz w:val="32"/>
                          <w:szCs w:val="32"/>
                        </w:rPr>
                        <w:t>（</w:t>
                      </w:r>
                      <w:r>
                        <w:rPr>
                          <w:rFonts w:hint="eastAsia"/>
                          <w:sz w:val="32"/>
                          <w:szCs w:val="32"/>
                        </w:rPr>
                        <w:t>収支計画）</w:t>
                      </w:r>
                    </w:p>
                  </w:txbxContent>
                </v:textbox>
              </v:shape>
            </w:pict>
          </mc:Fallback>
        </mc:AlternateContent>
      </w:r>
    </w:p>
    <w:p w14:paraId="0DD6CF5D" w14:textId="375E8FD3" w:rsidR="001E6D5C" w:rsidRPr="001E6D5C" w:rsidRDefault="00C94C27" w:rsidP="00C94C27">
      <w:pPr>
        <w:pStyle w:val="3"/>
        <w:ind w:leftChars="0" w:left="0"/>
        <w:rPr>
          <w:u w:val="none"/>
        </w:rPr>
      </w:pPr>
      <w:r w:rsidRPr="00C94C27">
        <w:rPr>
          <w:rFonts w:asciiTheme="minorHAnsi" w:hAnsiTheme="minorHAnsi" w:cstheme="minorBidi"/>
          <w:noProof/>
          <w:sz w:val="22"/>
          <w:szCs w:val="22"/>
          <w:u w:val="none"/>
        </w:rPr>
        <mc:AlternateContent>
          <mc:Choice Requires="wps">
            <w:drawing>
              <wp:anchor distT="0" distB="0" distL="114300" distR="114300" simplePos="0" relativeHeight="251921408" behindDoc="0" locked="0" layoutInCell="1" allowOverlap="1" wp14:anchorId="29D49155" wp14:editId="3D738F0C">
                <wp:simplePos x="0" y="0"/>
                <wp:positionH relativeFrom="margin">
                  <wp:align>right</wp:align>
                </wp:positionH>
                <wp:positionV relativeFrom="paragraph">
                  <wp:posOffset>302260</wp:posOffset>
                </wp:positionV>
                <wp:extent cx="6086475" cy="1485900"/>
                <wp:effectExtent l="0" t="0" r="28575" b="19050"/>
                <wp:wrapNone/>
                <wp:docPr id="14" name="テキスト ボックス 9">
                  <a:extLst xmlns:a="http://schemas.openxmlformats.org/drawingml/2006/main">
                    <a:ext uri="{FF2B5EF4-FFF2-40B4-BE49-F238E27FC236}">
                      <a16:creationId xmlns:a16="http://schemas.microsoft.com/office/drawing/2014/main" id="{7329C642-38B6-4777-B39F-DA4D2652747F}"/>
                    </a:ext>
                  </a:extLst>
                </wp:docPr>
                <wp:cNvGraphicFramePr/>
                <a:graphic xmlns:a="http://schemas.openxmlformats.org/drawingml/2006/main">
                  <a:graphicData uri="http://schemas.microsoft.com/office/word/2010/wordprocessingShape">
                    <wps:wsp>
                      <wps:cNvSpPr txBox="1"/>
                      <wps:spPr>
                        <a:xfrm>
                          <a:off x="0" y="0"/>
                          <a:ext cx="6086475" cy="1485900"/>
                        </a:xfrm>
                        <a:prstGeom prst="rect">
                          <a:avLst/>
                        </a:prstGeom>
                        <a:noFill/>
                        <a:ln>
                          <a:solidFill>
                            <a:sysClr val="windowText" lastClr="000000"/>
                          </a:solidFill>
                        </a:ln>
                      </wps:spPr>
                      <wps:txbx>
                        <w:txbxContent>
                          <w:p w14:paraId="5BE5A752" w14:textId="04F8778B" w:rsidR="00C94C27" w:rsidRPr="00894D1A" w:rsidRDefault="0029175F" w:rsidP="00C94C27">
                            <w:pPr>
                              <w:ind w:firstLineChars="100" w:firstLine="240"/>
                              <w:rPr>
                                <w:sz w:val="24"/>
                              </w:rPr>
                            </w:pPr>
                            <w:r>
                              <w:rPr>
                                <w:rFonts w:ascii="Meiryo UI" w:hAnsi="Meiryo UI" w:hint="eastAsia"/>
                                <w:sz w:val="24"/>
                              </w:rPr>
                              <w:t>今後</w:t>
                            </w:r>
                            <w:r>
                              <w:rPr>
                                <w:rFonts w:ascii="Meiryo UI" w:hAnsi="Meiryo UI"/>
                                <w:sz w:val="24"/>
                              </w:rPr>
                              <w:t>５年</w:t>
                            </w:r>
                            <w:r>
                              <w:rPr>
                                <w:rFonts w:ascii="Meiryo UI" w:hAnsi="Meiryo UI" w:hint="eastAsia"/>
                                <w:sz w:val="24"/>
                              </w:rPr>
                              <w:t>間</w:t>
                            </w:r>
                            <w:r>
                              <w:rPr>
                                <w:rFonts w:ascii="Meiryo UI" w:hAnsi="Meiryo UI"/>
                                <w:sz w:val="24"/>
                              </w:rPr>
                              <w:t>の</w:t>
                            </w:r>
                            <w:r w:rsidR="00C94C27" w:rsidRPr="00894D1A">
                              <w:rPr>
                                <w:rFonts w:hint="eastAsia"/>
                                <w:sz w:val="24"/>
                              </w:rPr>
                              <w:t>投資財政計画</w:t>
                            </w:r>
                            <w:r w:rsidR="00C94C27" w:rsidRPr="00894D1A">
                              <w:rPr>
                                <w:rFonts w:hint="eastAsia"/>
                                <w:sz w:val="24"/>
                              </w:rPr>
                              <w:t>(</w:t>
                            </w:r>
                            <w:r w:rsidR="00C94C27" w:rsidRPr="00894D1A">
                              <w:rPr>
                                <w:rFonts w:hint="eastAsia"/>
                                <w:sz w:val="24"/>
                              </w:rPr>
                              <w:t>収支計画</w:t>
                            </w:r>
                            <w:r w:rsidR="00C94C27" w:rsidRPr="00894D1A">
                              <w:rPr>
                                <w:rFonts w:hint="eastAsia"/>
                                <w:sz w:val="24"/>
                              </w:rPr>
                              <w:t xml:space="preserve">) </w:t>
                            </w:r>
                            <w:r w:rsidR="00C94C27" w:rsidRPr="00894D1A">
                              <w:rPr>
                                <w:rFonts w:hint="eastAsia"/>
                                <w:sz w:val="24"/>
                              </w:rPr>
                              <w:t>については、以下のとおりと</w:t>
                            </w:r>
                            <w:r>
                              <w:rPr>
                                <w:rFonts w:hint="eastAsia"/>
                                <w:sz w:val="24"/>
                              </w:rPr>
                              <w:t>する</w:t>
                            </w:r>
                            <w:r w:rsidR="00C94C27" w:rsidRPr="00894D1A">
                              <w:rPr>
                                <w:rFonts w:hint="eastAsia"/>
                                <w:sz w:val="24"/>
                              </w:rPr>
                              <w:t>。</w:t>
                            </w:r>
                          </w:p>
                          <w:p w14:paraId="1450CB09" w14:textId="3CA8889C" w:rsidR="00C94C27" w:rsidRPr="00894D1A" w:rsidRDefault="00C94C27" w:rsidP="00C94C27">
                            <w:pPr>
                              <w:ind w:firstLineChars="100" w:firstLine="240"/>
                              <w:rPr>
                                <w:sz w:val="24"/>
                              </w:rPr>
                            </w:pPr>
                            <w:r w:rsidRPr="00894D1A">
                              <w:rPr>
                                <w:rFonts w:hint="eastAsia"/>
                                <w:sz w:val="24"/>
                              </w:rPr>
                              <w:t>計画期間中は、市場の建替えによる再整</w:t>
                            </w:r>
                            <w:r w:rsidR="00C95BB5">
                              <w:rPr>
                                <w:rFonts w:hint="eastAsia"/>
                                <w:sz w:val="24"/>
                              </w:rPr>
                              <w:t>備の検討</w:t>
                            </w:r>
                            <w:r w:rsidR="0073620E">
                              <w:rPr>
                                <w:rFonts w:hint="eastAsia"/>
                                <w:sz w:val="24"/>
                              </w:rPr>
                              <w:t>など</w:t>
                            </w:r>
                            <w:r w:rsidR="00C95BB5">
                              <w:rPr>
                                <w:sz w:val="24"/>
                              </w:rPr>
                              <w:t>に</w:t>
                            </w:r>
                            <w:r w:rsidR="00D90369">
                              <w:rPr>
                                <w:rFonts w:hint="eastAsia"/>
                                <w:sz w:val="24"/>
                              </w:rPr>
                              <w:t>係る費用</w:t>
                            </w:r>
                            <w:r w:rsidR="002D4741">
                              <w:rPr>
                                <w:rFonts w:hint="eastAsia"/>
                                <w:sz w:val="24"/>
                              </w:rPr>
                              <w:t>が発生するが、黒字が継続するよう</w:t>
                            </w:r>
                            <w:r w:rsidR="002D4741">
                              <w:rPr>
                                <w:sz w:val="24"/>
                              </w:rPr>
                              <w:t>、計画を策定する</w:t>
                            </w:r>
                            <w:r w:rsidRPr="00894D1A">
                              <w:rPr>
                                <w:rFonts w:hint="eastAsia"/>
                                <w:sz w:val="24"/>
                              </w:rPr>
                              <w:t>。</w:t>
                            </w:r>
                          </w:p>
                          <w:p w14:paraId="7A89CE5D" w14:textId="77777777" w:rsidR="00C94C27" w:rsidRPr="00894D1A" w:rsidRDefault="00C94C27" w:rsidP="00C94C27">
                            <w:pPr>
                              <w:ind w:firstLineChars="100" w:firstLine="240"/>
                              <w:rPr>
                                <w:sz w:val="24"/>
                              </w:rPr>
                            </w:pPr>
                            <w:r w:rsidRPr="00894D1A">
                              <w:rPr>
                                <w:rFonts w:hint="eastAsia"/>
                                <w:sz w:val="24"/>
                              </w:rPr>
                              <w:t>なお、収支計画については、毎年度決算後に更新するものとし、建替えによる再整備の検討状況等に応じて、必要な費用等を反映する。</w:t>
                            </w:r>
                          </w:p>
                          <w:p w14:paraId="6EF7C64E" w14:textId="77777777" w:rsidR="00C94C27" w:rsidRPr="00C94C27" w:rsidRDefault="00C94C27" w:rsidP="00C94C27">
                            <w:pPr>
                              <w:pStyle w:val="Web"/>
                              <w:spacing w:before="0" w:beforeAutospacing="0" w:after="0" w:afterAutospacing="0"/>
                              <w:rPr>
                                <w:rFonts w:asciiTheme="minorHAnsi" w:eastAsia="HG丸ｺﾞｼｯｸM-PRO" w:hAnsi="HG丸ｺﾞｼｯｸM-PRO" w:cs="Times New Roman"/>
                                <w:color w:val="000000" w:themeColor="text1"/>
                                <w:kern w:val="2"/>
                                <w:szCs w:val="3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29D49155" id="_x0000_t202" coordsize="21600,21600" o:spt="202" path="m,l,21600r21600,l21600,xe">
                <v:stroke joinstyle="miter"/>
                <v:path gradientshapeok="t" o:connecttype="rect"/>
              </v:shapetype>
              <v:shape id="_x0000_s1033" type="#_x0000_t202" style="position:absolute;margin-left:428.05pt;margin-top:23.8pt;width:479.25pt;height:117pt;z-index:251921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" filled="f" strokecolor="windowText">
                <v:textbox>
                  <w:txbxContent>
                    <w:p w14:paraId="5BE5A752" w14:textId="04F8778B" w:rsidR="00C94C27" w:rsidRPr="00894D1A" w:rsidRDefault="0029175F" w:rsidP="00C94C27">
                      <w:pPr>
                        <w:ind w:firstLineChars="100" w:firstLine="240"/>
                        <w:rPr>
                          <w:sz w:val="24"/>
                        </w:rPr>
                      </w:pPr>
                      <w:r>
                        <w:rPr>
                          <w:rFonts w:ascii="Meiryo UI" w:hAnsi="Meiryo UI" w:hint="eastAsia"/>
                          <w:sz w:val="24"/>
                        </w:rPr>
                        <w:t>今後</w:t>
                      </w:r>
                      <w:r>
                        <w:rPr>
                          <w:rFonts w:ascii="Meiryo UI" w:hAnsi="Meiryo UI"/>
                          <w:sz w:val="24"/>
                        </w:rPr>
                        <w:t>５年</w:t>
                      </w:r>
                      <w:r>
                        <w:rPr>
                          <w:rFonts w:ascii="Meiryo UI" w:hAnsi="Meiryo UI" w:hint="eastAsia"/>
                          <w:sz w:val="24"/>
                        </w:rPr>
                        <w:t>間</w:t>
                      </w:r>
                      <w:r>
                        <w:rPr>
                          <w:rFonts w:ascii="Meiryo UI" w:hAnsi="Meiryo UI"/>
                          <w:sz w:val="24"/>
                        </w:rPr>
                        <w:t>の</w:t>
                      </w:r>
                      <w:r w:rsidR="00C94C27" w:rsidRPr="00894D1A">
                        <w:rPr>
                          <w:rFonts w:hint="eastAsia"/>
                          <w:sz w:val="24"/>
                        </w:rPr>
                        <w:t>投資財政計画</w:t>
                      </w:r>
                      <w:r w:rsidR="00C94C27" w:rsidRPr="00894D1A">
                        <w:rPr>
                          <w:rFonts w:hint="eastAsia"/>
                          <w:sz w:val="24"/>
                        </w:rPr>
                        <w:t>(</w:t>
                      </w:r>
                      <w:r w:rsidR="00C94C27" w:rsidRPr="00894D1A">
                        <w:rPr>
                          <w:rFonts w:hint="eastAsia"/>
                          <w:sz w:val="24"/>
                        </w:rPr>
                        <w:t>収支計画</w:t>
                      </w:r>
                      <w:r w:rsidR="00C94C27" w:rsidRPr="00894D1A">
                        <w:rPr>
                          <w:rFonts w:hint="eastAsia"/>
                          <w:sz w:val="24"/>
                        </w:rPr>
                        <w:t xml:space="preserve">) </w:t>
                      </w:r>
                      <w:r w:rsidR="00C94C27" w:rsidRPr="00894D1A">
                        <w:rPr>
                          <w:rFonts w:hint="eastAsia"/>
                          <w:sz w:val="24"/>
                        </w:rPr>
                        <w:t>については、以下のとおりと</w:t>
                      </w:r>
                      <w:r>
                        <w:rPr>
                          <w:rFonts w:hint="eastAsia"/>
                          <w:sz w:val="24"/>
                        </w:rPr>
                        <w:t>する</w:t>
                      </w:r>
                      <w:r w:rsidR="00C94C27" w:rsidRPr="00894D1A">
                        <w:rPr>
                          <w:rFonts w:hint="eastAsia"/>
                          <w:sz w:val="24"/>
                        </w:rPr>
                        <w:t>。</w:t>
                      </w:r>
                    </w:p>
                    <w:p w14:paraId="1450CB09" w14:textId="3CA8889C" w:rsidR="00C94C27" w:rsidRPr="00894D1A" w:rsidRDefault="00C94C27" w:rsidP="00C94C27">
                      <w:pPr>
                        <w:ind w:firstLineChars="100" w:firstLine="240"/>
                        <w:rPr>
                          <w:sz w:val="24"/>
                        </w:rPr>
                      </w:pPr>
                      <w:r w:rsidRPr="00894D1A">
                        <w:rPr>
                          <w:rFonts w:hint="eastAsia"/>
                          <w:sz w:val="24"/>
                        </w:rPr>
                        <w:t>計画期間中は、市場の建替えによる再整</w:t>
                      </w:r>
                      <w:r w:rsidR="00C95BB5">
                        <w:rPr>
                          <w:rFonts w:hint="eastAsia"/>
                          <w:sz w:val="24"/>
                        </w:rPr>
                        <w:t>備の検討</w:t>
                      </w:r>
                      <w:r w:rsidR="0073620E">
                        <w:rPr>
                          <w:rFonts w:hint="eastAsia"/>
                          <w:sz w:val="24"/>
                        </w:rPr>
                        <w:t>など</w:t>
                      </w:r>
                      <w:r w:rsidR="00C95BB5">
                        <w:rPr>
                          <w:sz w:val="24"/>
                        </w:rPr>
                        <w:t>に</w:t>
                      </w:r>
                      <w:r w:rsidR="00D90369">
                        <w:rPr>
                          <w:rFonts w:hint="eastAsia"/>
                          <w:sz w:val="24"/>
                        </w:rPr>
                        <w:t>係る費用</w:t>
                      </w:r>
                      <w:r w:rsidR="002D4741">
                        <w:rPr>
                          <w:rFonts w:hint="eastAsia"/>
                          <w:sz w:val="24"/>
                        </w:rPr>
                        <w:t>が発生するが、黒字が継続するよう</w:t>
                      </w:r>
                      <w:r w:rsidR="002D4741">
                        <w:rPr>
                          <w:sz w:val="24"/>
                        </w:rPr>
                        <w:t>、計画を策定する</w:t>
                      </w:r>
                      <w:r w:rsidRPr="00894D1A">
                        <w:rPr>
                          <w:rFonts w:hint="eastAsia"/>
                          <w:sz w:val="24"/>
                        </w:rPr>
                        <w:t>。</w:t>
                      </w:r>
                    </w:p>
                    <w:p w14:paraId="7A89CE5D" w14:textId="77777777" w:rsidR="00C94C27" w:rsidRPr="00894D1A" w:rsidRDefault="00C94C27" w:rsidP="00C94C27">
                      <w:pPr>
                        <w:ind w:firstLineChars="100" w:firstLine="240"/>
                        <w:rPr>
                          <w:sz w:val="24"/>
                        </w:rPr>
                      </w:pPr>
                      <w:r w:rsidRPr="00894D1A">
                        <w:rPr>
                          <w:rFonts w:hint="eastAsia"/>
                          <w:sz w:val="24"/>
                        </w:rPr>
                        <w:t>なお、収支計画については、毎年度決算後に更新するものとし、建替えによる再整備の検討状況等に応じて、必要な費用等を反映する。</w:t>
                      </w:r>
                    </w:p>
                    <w:p w14:paraId="6EF7C64E" w14:textId="77777777" w:rsidR="00C94C27" w:rsidRPr="00C94C27" w:rsidRDefault="00C94C27" w:rsidP="00C94C27">
                      <w:pPr>
                        <w:pStyle w:val="Web"/>
                        <w:spacing w:before="0" w:beforeAutospacing="0" w:after="0" w:afterAutospacing="0"/>
                        <w:rPr>
                          <w:rFonts w:asciiTheme="minorHAnsi" w:eastAsia="HG丸ｺﾞｼｯｸM-PRO" w:hAnsi="HG丸ｺﾞｼｯｸM-PRO" w:cs="Times New Roman"/>
                          <w:color w:val="000000" w:themeColor="text1"/>
                          <w:kern w:val="2"/>
                          <w:szCs w:val="32"/>
                        </w:rPr>
                      </w:pPr>
                    </w:p>
                  </w:txbxContent>
                </v:textbox>
                <w10:wrap anchorx="margin"/>
              </v:shape>
            </w:pict>
          </mc:Fallback>
        </mc:AlternateContent>
      </w:r>
      <w:r w:rsidR="001E6D5C" w:rsidRPr="001E6D5C">
        <w:rPr>
          <w:rFonts w:hint="eastAsia"/>
          <w:u w:val="none"/>
        </w:rPr>
        <w:t xml:space="preserve">　　　　　　　　　　　　　　　　　　　　　　　　　　　　　　　　　　　　　　　　　　　　　　　　</w:t>
      </w:r>
    </w:p>
    <w:p w14:paraId="405E40A3" w14:textId="325B94A3" w:rsidR="00C94C27" w:rsidRDefault="00C94C27" w:rsidP="00C94C27">
      <w:pPr>
        <w:ind w:firstLineChars="100" w:firstLine="220"/>
      </w:pPr>
    </w:p>
    <w:p w14:paraId="5DC8E840" w14:textId="02BECD2C" w:rsidR="00C94C27" w:rsidRDefault="00C94C27" w:rsidP="00C94C27">
      <w:pPr>
        <w:ind w:firstLineChars="100" w:firstLine="220"/>
      </w:pPr>
    </w:p>
    <w:p w14:paraId="5708E1BF" w14:textId="38F79B2A" w:rsidR="00C94C27" w:rsidRDefault="00C94C27" w:rsidP="00C94C27">
      <w:pPr>
        <w:ind w:firstLineChars="100" w:firstLine="220"/>
      </w:pPr>
    </w:p>
    <w:p w14:paraId="67F7F549" w14:textId="374CAD7A" w:rsidR="00C94C27" w:rsidRDefault="00C94C27" w:rsidP="00C94C27">
      <w:pPr>
        <w:ind w:firstLineChars="100" w:firstLine="220"/>
      </w:pPr>
    </w:p>
    <w:p w14:paraId="7C6FDEDC" w14:textId="2F550539" w:rsidR="00C94C27" w:rsidRDefault="00C94C27" w:rsidP="00C94C27">
      <w:pPr>
        <w:ind w:firstLineChars="100" w:firstLine="220"/>
      </w:pPr>
    </w:p>
    <w:p w14:paraId="144F9C46" w14:textId="79986D8F" w:rsidR="00C94C27" w:rsidRDefault="00C94C27" w:rsidP="00FD1C12"/>
    <w:p w14:paraId="7120EF4C" w14:textId="71FCAB4C" w:rsidR="001E6D5C" w:rsidRDefault="00050613" w:rsidP="00FD1C12">
      <w:r w:rsidRPr="006726DB">
        <w:rPr>
          <w:rFonts w:ascii="Meiryo UI" w:hAnsi="Meiryo UI" w:hint="eastAsia"/>
          <w:noProof/>
        </w:rPr>
        <mc:AlternateContent>
          <mc:Choice Requires="wps">
            <w:drawing>
              <wp:anchor distT="0" distB="0" distL="114300" distR="114300" simplePos="0" relativeHeight="251943936" behindDoc="0" locked="0" layoutInCell="1" allowOverlap="1" wp14:anchorId="1C489523" wp14:editId="31274E34">
                <wp:simplePos x="0" y="0"/>
                <wp:positionH relativeFrom="margin">
                  <wp:posOffset>5301615</wp:posOffset>
                </wp:positionH>
                <wp:positionV relativeFrom="paragraph">
                  <wp:posOffset>8890</wp:posOffset>
                </wp:positionV>
                <wp:extent cx="787941" cy="41829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787941" cy="418290"/>
                        </a:xfrm>
                        <a:prstGeom prst="rect">
                          <a:avLst/>
                        </a:prstGeom>
                        <a:solidFill>
                          <a:sysClr val="window" lastClr="FFFFFF"/>
                        </a:solidFill>
                        <a:ln w="6350">
                          <a:noFill/>
                        </a:ln>
                      </wps:spPr>
                      <wps:txbx>
                        <w:txbxContent>
                          <w:p w14:paraId="26B739F0" w14:textId="2AF283DD" w:rsidR="00CF2586" w:rsidRPr="0035658A" w:rsidRDefault="00CF2586" w:rsidP="00CF2586">
                            <w:pPr>
                              <w:rPr>
                                <w:sz w:val="18"/>
                              </w:rPr>
                            </w:pPr>
                            <w:r w:rsidRPr="0035658A">
                              <w:rPr>
                                <w:rFonts w:hint="eastAsia"/>
                                <w:sz w:val="18"/>
                              </w:rPr>
                              <w:t>（百</w:t>
                            </w:r>
                            <w:r w:rsidRPr="0035658A">
                              <w:rPr>
                                <w:sz w:val="18"/>
                              </w:rPr>
                              <w:t>万</w:t>
                            </w:r>
                            <w:r w:rsidRPr="0035658A">
                              <w:rPr>
                                <w:rFonts w:hint="eastAsia"/>
                                <w:sz w:val="18"/>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89523" id="_x0000_s1034" type="#_x0000_t202" style="position:absolute;left:0;text-align:left;margin-left:417.45pt;margin-top:.7pt;width:62.05pt;height:32.9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" fillcolor="window" stroked="f" strokeweight=".5pt">
                <v:textbox>
                  <w:txbxContent>
                    <w:p w14:paraId="26B739F0" w14:textId="2AF283DD" w:rsidR="00CF2586" w:rsidRPr="0035658A" w:rsidRDefault="00CF2586" w:rsidP="00CF2586">
                      <w:pPr>
                        <w:rPr>
                          <w:sz w:val="18"/>
                        </w:rPr>
                      </w:pPr>
                      <w:r w:rsidRPr="0035658A">
                        <w:rPr>
                          <w:rFonts w:hint="eastAsia"/>
                          <w:sz w:val="18"/>
                        </w:rPr>
                        <w:t>（</w:t>
                      </w:r>
                      <w:r w:rsidRPr="0035658A">
                        <w:rPr>
                          <w:rFonts w:hint="eastAsia"/>
                          <w:sz w:val="18"/>
                        </w:rPr>
                        <w:t>百</w:t>
                      </w:r>
                      <w:r w:rsidRPr="0035658A">
                        <w:rPr>
                          <w:sz w:val="18"/>
                        </w:rPr>
                        <w:t>万</w:t>
                      </w:r>
                      <w:r w:rsidRPr="0035658A">
                        <w:rPr>
                          <w:rFonts w:hint="eastAsia"/>
                          <w:sz w:val="18"/>
                        </w:rPr>
                        <w:t>円）</w:t>
                      </w:r>
                    </w:p>
                  </w:txbxContent>
                </v:textbox>
                <w10:wrap anchorx="margin"/>
              </v:shape>
            </w:pict>
          </mc:Fallback>
        </mc:AlternateContent>
      </w:r>
    </w:p>
    <w:p w14:paraId="08C30AE9" w14:textId="2DFE0C9C" w:rsidR="001E6D5C" w:rsidRPr="0035658A" w:rsidRDefault="00421370" w:rsidP="00FD1C12">
      <w:pPr>
        <w:rPr>
          <w:rFonts w:ascii="Meiryo UI" w:hAnsi="Meiryo UI"/>
        </w:rPr>
      </w:pPr>
      <w:r w:rsidRPr="00421370">
        <w:rPr>
          <w:noProof/>
        </w:rPr>
        <w:drawing>
          <wp:anchor distT="0" distB="0" distL="114300" distR="114300" simplePos="0" relativeHeight="251981824" behindDoc="0" locked="0" layoutInCell="1" allowOverlap="1" wp14:anchorId="12E2D259" wp14:editId="7F514842">
            <wp:simplePos x="0" y="0"/>
            <wp:positionH relativeFrom="margin">
              <wp:posOffset>22860</wp:posOffset>
            </wp:positionH>
            <wp:positionV relativeFrom="paragraph">
              <wp:posOffset>76835</wp:posOffset>
            </wp:positionV>
            <wp:extent cx="5956024" cy="5829300"/>
            <wp:effectExtent l="0" t="0" r="698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3038" cy="5836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875089" w14:textId="73EB8945" w:rsidR="001E6D5C" w:rsidRDefault="001E6D5C" w:rsidP="00FD1C12"/>
    <w:p w14:paraId="6F119BB9" w14:textId="6DEC0107" w:rsidR="001E6D5C" w:rsidRDefault="001E6D5C" w:rsidP="00FD1C12"/>
    <w:p w14:paraId="5ADF35A6" w14:textId="5CC6764D" w:rsidR="001E6D5C" w:rsidRDefault="001E6D5C" w:rsidP="00FD1C12"/>
    <w:p w14:paraId="439E7FC1" w14:textId="3DBA0A27" w:rsidR="001E6D5C" w:rsidRDefault="001E6D5C" w:rsidP="00FD1C12"/>
    <w:p w14:paraId="6302472A" w14:textId="65D59995" w:rsidR="001E6D5C" w:rsidRDefault="001E6D5C" w:rsidP="00FD1C12"/>
    <w:p w14:paraId="3212E311" w14:textId="62C71A0F" w:rsidR="001E6D5C" w:rsidRDefault="001E6D5C" w:rsidP="00FD1C12"/>
    <w:p w14:paraId="56C1E4CF" w14:textId="3AFFF18C" w:rsidR="001E6D5C" w:rsidRDefault="001E6D5C" w:rsidP="00FD1C12"/>
    <w:p w14:paraId="5BC54285" w14:textId="4B0EBB5F" w:rsidR="001E6D5C" w:rsidRDefault="001E6D5C" w:rsidP="00FD1C12"/>
    <w:p w14:paraId="4400CAC7" w14:textId="6D7009B5" w:rsidR="001E6D5C" w:rsidRDefault="001E6D5C" w:rsidP="00FD1C12"/>
    <w:p w14:paraId="7E3167A6" w14:textId="27976FB2" w:rsidR="001E6D5C" w:rsidRDefault="001E6D5C" w:rsidP="00FD1C12"/>
    <w:p w14:paraId="7FDA763E" w14:textId="7AF72D71" w:rsidR="001E6D5C" w:rsidRDefault="001E6D5C" w:rsidP="00FD1C12"/>
    <w:p w14:paraId="7797513E" w14:textId="0314A7D8" w:rsidR="001E6D5C" w:rsidRDefault="001E6D5C" w:rsidP="00FD1C12"/>
    <w:p w14:paraId="4A77C7BC" w14:textId="70364EF6" w:rsidR="001E6D5C" w:rsidRDefault="001E6D5C" w:rsidP="00FD1C12"/>
    <w:p w14:paraId="6E803823" w14:textId="47F691D2" w:rsidR="001E6D5C" w:rsidRDefault="001E6D5C" w:rsidP="00FD1C12"/>
    <w:p w14:paraId="59450FE9" w14:textId="437184EF" w:rsidR="001E6D5C" w:rsidRDefault="001E6D5C" w:rsidP="00FD1C12"/>
    <w:p w14:paraId="75058E53" w14:textId="620CB6EA" w:rsidR="001E6D5C" w:rsidRDefault="001E6D5C" w:rsidP="00FD1C12"/>
    <w:p w14:paraId="1CD220D4" w14:textId="4442151F" w:rsidR="001E6D5C" w:rsidRDefault="001E6D5C" w:rsidP="00FD1C12"/>
    <w:p w14:paraId="36311144" w14:textId="47CEA49C" w:rsidR="001E6D5C" w:rsidRDefault="001E6D5C" w:rsidP="00FD1C12"/>
    <w:p w14:paraId="5D8DD1CE" w14:textId="24B6C393" w:rsidR="003E4E84" w:rsidRDefault="003E4E84" w:rsidP="00FD1C12"/>
    <w:p w14:paraId="12799BEC" w14:textId="5E5F6514" w:rsidR="003E4E84" w:rsidRDefault="003E4E84" w:rsidP="00FD1C12"/>
    <w:p w14:paraId="0CB5A0E3" w14:textId="77777777" w:rsidR="003E4E84" w:rsidRDefault="003E4E84" w:rsidP="00FD1C12"/>
    <w:p w14:paraId="565A1778" w14:textId="511F4578" w:rsidR="00BE7BFC" w:rsidRDefault="00BE7BFC" w:rsidP="00BE7BFC">
      <w:pPr>
        <w:rPr>
          <w:sz w:val="21"/>
        </w:rPr>
      </w:pPr>
    </w:p>
    <w:p w14:paraId="79FBA452" w14:textId="2EA7FAAB" w:rsidR="00A761DB" w:rsidRPr="00B07BB4" w:rsidRDefault="003A544B" w:rsidP="00B07BB4">
      <w:pPr>
        <w:ind w:firstLineChars="100" w:firstLine="160"/>
        <w:rPr>
          <w:sz w:val="16"/>
        </w:rPr>
      </w:pPr>
      <w:r w:rsidRPr="00B07BB4">
        <w:rPr>
          <w:rFonts w:hint="eastAsia"/>
          <w:sz w:val="16"/>
        </w:rPr>
        <w:t>※単位未満は四捨五入を原則としたため、内訳の計と合計等とが一致しない場合がある</w:t>
      </w:r>
    </w:p>
    <w:p w14:paraId="0644F458" w14:textId="77777777" w:rsidR="00421370" w:rsidRDefault="00421370" w:rsidP="00FD1C12"/>
    <w:p w14:paraId="2D509D23" w14:textId="77777777" w:rsidR="00421370" w:rsidRDefault="00421370" w:rsidP="00FD1C12"/>
    <w:p w14:paraId="50F1F50A" w14:textId="1E5E9396" w:rsidR="001E6D5C" w:rsidRDefault="001E6D5C" w:rsidP="00FD1C12">
      <w:r w:rsidRPr="001E6D5C">
        <w:rPr>
          <w:noProof/>
        </w:rPr>
        <mc:AlternateContent>
          <mc:Choice Requires="wps">
            <w:drawing>
              <wp:anchor distT="0" distB="0" distL="114300" distR="114300" simplePos="0" relativeHeight="251673600" behindDoc="0" locked="0" layoutInCell="1" allowOverlap="1" wp14:anchorId="2EAD38CE" wp14:editId="4585F983">
                <wp:simplePos x="0" y="0"/>
                <wp:positionH relativeFrom="column">
                  <wp:posOffset>0</wp:posOffset>
                </wp:positionH>
                <wp:positionV relativeFrom="paragraph">
                  <wp:posOffset>50165</wp:posOffset>
                </wp:positionV>
                <wp:extent cx="6096000" cy="395605"/>
                <wp:effectExtent l="0" t="0" r="19050" b="23495"/>
                <wp:wrapNone/>
                <wp:docPr id="20" name="ホームベース 20"/>
                <wp:cNvGraphicFramePr/>
                <a:graphic xmlns:a="http://schemas.openxmlformats.org/drawingml/2006/main">
                  <a:graphicData uri="http://schemas.microsoft.com/office/word/2010/wordprocessingShape">
                    <wps:wsp>
                      <wps:cNvSpPr/>
                      <wps:spPr>
                        <a:xfrm>
                          <a:off x="0" y="0"/>
                          <a:ext cx="6096000" cy="395605"/>
                        </a:xfrm>
                        <a:prstGeom prst="homePlate">
                          <a:avLst/>
                        </a:prstGeom>
                        <a:solidFill>
                          <a:sysClr val="window" lastClr="FFFFFF"/>
                        </a:solidFill>
                        <a:ln w="25400" cap="flat" cmpd="sng" algn="ctr">
                          <a:solidFill>
                            <a:srgbClr val="002060"/>
                          </a:solidFill>
                          <a:prstDash val="solid"/>
                        </a:ln>
                        <a:effectLst/>
                      </wps:spPr>
                      <wps:txbx>
                        <w:txbxContent>
                          <w:p w14:paraId="28232C9E" w14:textId="14581815" w:rsidR="001E6D5C" w:rsidRPr="00563516" w:rsidRDefault="001E6D5C" w:rsidP="001E6D5C">
                            <w:pPr>
                              <w:rPr>
                                <w:sz w:val="32"/>
                                <w:szCs w:val="32"/>
                              </w:rPr>
                            </w:pPr>
                            <w:r>
                              <w:rPr>
                                <w:rFonts w:hint="eastAsia"/>
                                <w:sz w:val="32"/>
                                <w:szCs w:val="32"/>
                              </w:rPr>
                              <w:t>３　投資</w:t>
                            </w:r>
                            <w:bookmarkStart w:id="0" w:name="_GoBack"/>
                            <w:bookmarkEnd w:id="0"/>
                            <w:r>
                              <w:rPr>
                                <w:sz w:val="32"/>
                                <w:szCs w:val="32"/>
                              </w:rPr>
                              <w:t>財政計画</w:t>
                            </w:r>
                            <w:r>
                              <w:rPr>
                                <w:sz w:val="32"/>
                                <w:szCs w:val="32"/>
                              </w:rPr>
                              <w:t>(</w:t>
                            </w:r>
                            <w:r>
                              <w:rPr>
                                <w:rFonts w:hint="eastAsia"/>
                                <w:sz w:val="32"/>
                                <w:szCs w:val="32"/>
                              </w:rPr>
                              <w:t>収支</w:t>
                            </w:r>
                            <w:r>
                              <w:rPr>
                                <w:sz w:val="32"/>
                                <w:szCs w:val="32"/>
                              </w:rPr>
                              <w:t>計画</w:t>
                            </w:r>
                            <w:r>
                              <w:rPr>
                                <w:sz w:val="32"/>
                                <w:szCs w:val="32"/>
                              </w:rPr>
                              <w:t>)</w:t>
                            </w:r>
                            <w:r>
                              <w:rPr>
                                <w:rFonts w:hint="eastAsia"/>
                                <w:sz w:val="32"/>
                                <w:szCs w:val="32"/>
                              </w:rPr>
                              <w:t>の</w:t>
                            </w:r>
                            <w:r>
                              <w:rPr>
                                <w:sz w:val="32"/>
                                <w:szCs w:val="32"/>
                              </w:rPr>
                              <w:t>説明</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D38C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0" o:spid="_x0000_s1035" type="#_x0000_t15" style="position:absolute;left:0;text-align:left;margin-left:0;margin-top:3.95pt;width:480pt;height:3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" adj="20899" fillcolor="window" strokecolor="#002060" strokeweight="2pt">
                <v:textbox inset=",0,,0">
                  <w:txbxContent>
                    <w:p w14:paraId="28232C9E" w14:textId="14581815" w:rsidR="001E6D5C" w:rsidRPr="00563516" w:rsidRDefault="001E6D5C" w:rsidP="001E6D5C">
                      <w:pPr>
                        <w:rPr>
                          <w:sz w:val="32"/>
                          <w:szCs w:val="32"/>
                        </w:rPr>
                      </w:pPr>
                      <w:r>
                        <w:rPr>
                          <w:rFonts w:hint="eastAsia"/>
                          <w:sz w:val="32"/>
                          <w:szCs w:val="32"/>
                        </w:rPr>
                        <w:t>３　投資</w:t>
                      </w:r>
                      <w:bookmarkStart w:id="1" w:name="_GoBack"/>
                      <w:bookmarkEnd w:id="1"/>
                      <w:r>
                        <w:rPr>
                          <w:sz w:val="32"/>
                          <w:szCs w:val="32"/>
                        </w:rPr>
                        <w:t>財政計画</w:t>
                      </w:r>
                      <w:r>
                        <w:rPr>
                          <w:sz w:val="32"/>
                          <w:szCs w:val="32"/>
                        </w:rPr>
                        <w:t>(</w:t>
                      </w:r>
                      <w:r>
                        <w:rPr>
                          <w:rFonts w:hint="eastAsia"/>
                          <w:sz w:val="32"/>
                          <w:szCs w:val="32"/>
                        </w:rPr>
                        <w:t>収支</w:t>
                      </w:r>
                      <w:r>
                        <w:rPr>
                          <w:sz w:val="32"/>
                          <w:szCs w:val="32"/>
                        </w:rPr>
                        <w:t>計画</w:t>
                      </w:r>
                      <w:r>
                        <w:rPr>
                          <w:sz w:val="32"/>
                          <w:szCs w:val="32"/>
                        </w:rPr>
                        <w:t>)</w:t>
                      </w:r>
                      <w:r>
                        <w:rPr>
                          <w:rFonts w:hint="eastAsia"/>
                          <w:sz w:val="32"/>
                          <w:szCs w:val="32"/>
                        </w:rPr>
                        <w:t>の</w:t>
                      </w:r>
                      <w:r>
                        <w:rPr>
                          <w:sz w:val="32"/>
                          <w:szCs w:val="32"/>
                        </w:rPr>
                        <w:t>説明</w:t>
                      </w:r>
                    </w:p>
                  </w:txbxContent>
                </v:textbox>
              </v:shape>
            </w:pict>
          </mc:Fallback>
        </mc:AlternateContent>
      </w:r>
    </w:p>
    <w:p w14:paraId="0CDE34B1" w14:textId="33FB5DF9" w:rsidR="001E6D5C" w:rsidRDefault="001E6D5C" w:rsidP="00FD1C12"/>
    <w:p w14:paraId="7F0A85D5" w14:textId="28F5253C" w:rsidR="00A515AC" w:rsidRDefault="00050613" w:rsidP="00FD1C12">
      <w:r w:rsidRPr="00750D09">
        <w:rPr>
          <w:noProof/>
        </w:rPr>
        <mc:AlternateContent>
          <mc:Choice Requires="wps">
            <w:drawing>
              <wp:anchor distT="0" distB="0" distL="114300" distR="114300" simplePos="0" relativeHeight="251923456" behindDoc="0" locked="0" layoutInCell="1" allowOverlap="1" wp14:anchorId="775FAE4A" wp14:editId="6D90407E">
                <wp:simplePos x="0" y="0"/>
                <wp:positionH relativeFrom="margin">
                  <wp:align>left</wp:align>
                </wp:positionH>
                <wp:positionV relativeFrom="paragraph">
                  <wp:posOffset>71755</wp:posOffset>
                </wp:positionV>
                <wp:extent cx="6115050" cy="435935"/>
                <wp:effectExtent l="0" t="0" r="19050" b="21590"/>
                <wp:wrapNone/>
                <wp:docPr id="15" name="テキスト ボックス 9">
                  <a:extLst xmlns:a="http://schemas.openxmlformats.org/drawingml/2006/main">
                    <a:ext uri="{FF2B5EF4-FFF2-40B4-BE49-F238E27FC236}">
                      <a16:creationId xmlns:a16="http://schemas.microsoft.com/office/drawing/2014/main" id="{7329C642-38B6-4777-B39F-DA4D2652747F}"/>
                    </a:ext>
                  </a:extLst>
                </wp:docPr>
                <wp:cNvGraphicFramePr/>
                <a:graphic xmlns:a="http://schemas.openxmlformats.org/drawingml/2006/main">
                  <a:graphicData uri="http://schemas.microsoft.com/office/word/2010/wordprocessingShape">
                    <wps:wsp>
                      <wps:cNvSpPr txBox="1"/>
                      <wps:spPr>
                        <a:xfrm>
                          <a:off x="0" y="0"/>
                          <a:ext cx="6115050" cy="435935"/>
                        </a:xfrm>
                        <a:prstGeom prst="rect">
                          <a:avLst/>
                        </a:prstGeom>
                        <a:noFill/>
                        <a:ln>
                          <a:solidFill>
                            <a:sysClr val="windowText" lastClr="000000"/>
                          </a:solidFill>
                        </a:ln>
                      </wps:spPr>
                      <wps:txbx>
                        <w:txbxContent>
                          <w:p w14:paraId="6CE4C406" w14:textId="48FA42D9" w:rsidR="00750D09" w:rsidRPr="00846F68" w:rsidRDefault="00750D09" w:rsidP="00750D09">
                            <w:pPr>
                              <w:ind w:firstLineChars="100" w:firstLine="240"/>
                              <w:rPr>
                                <w:rFonts w:ascii="Meiryo UI" w:hAnsi="Meiryo UI"/>
                                <w:sz w:val="24"/>
                              </w:rPr>
                            </w:pPr>
                            <w:r w:rsidRPr="00846F68">
                              <w:rPr>
                                <w:rFonts w:ascii="Meiryo UI" w:hAnsi="Meiryo UI" w:hint="eastAsia"/>
                                <w:sz w:val="24"/>
                              </w:rPr>
                              <w:t>投資・財政計画(収支計画)は、以下の考え方に基づき、作成している。</w:t>
                            </w:r>
                          </w:p>
                          <w:p w14:paraId="1F410A6D" w14:textId="5FEB3602" w:rsidR="00750D09" w:rsidRPr="00846F68" w:rsidRDefault="00750D09" w:rsidP="00750D09">
                            <w:pPr>
                              <w:ind w:left="120" w:hangingChars="50" w:hanging="120"/>
                              <w:rPr>
                                <w:rFonts w:ascii="Meiryo UI" w:hAnsi="Meiryo UI"/>
                                <w:sz w:val="24"/>
                              </w:rPr>
                            </w:pPr>
                            <w:r w:rsidRPr="00846F68">
                              <w:rPr>
                                <w:rFonts w:ascii="Meiryo UI" w:hAnsi="Meiryo UI" w:hint="eastAsia"/>
                                <w:sz w:val="24"/>
                              </w:rPr>
                              <w:t xml:space="preserve">　</w:t>
                            </w:r>
                          </w:p>
                          <w:p w14:paraId="6CCF6EA1" w14:textId="32B3DAA3" w:rsidR="00750D09" w:rsidRPr="00750D09" w:rsidRDefault="00750D09" w:rsidP="00750D09">
                            <w:pPr>
                              <w:pStyle w:val="Web"/>
                              <w:spacing w:before="0" w:beforeAutospacing="0" w:after="0" w:afterAutospacing="0"/>
                              <w:rPr>
                                <w:rFonts w:asciiTheme="minorHAnsi" w:eastAsia="HG丸ｺﾞｼｯｸM-PRO" w:hAnsi="HG丸ｺﾞｼｯｸM-PRO" w:cs="Times New Roman"/>
                                <w:color w:val="000000" w:themeColor="text1"/>
                                <w:kern w:val="2"/>
                                <w:szCs w:val="3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75FAE4A" id="_x0000_s1036" type="#_x0000_t202" style="position:absolute;left:0;text-align:left;margin-left:0;margin-top:5.65pt;width:481.5pt;height:34.35pt;z-index:25192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" filled="f" strokecolor="windowText">
                <v:textbox>
                  <w:txbxContent>
                    <w:p w14:paraId="6CE4C406" w14:textId="48FA42D9" w:rsidR="00750D09" w:rsidRPr="00846F68" w:rsidRDefault="00750D09" w:rsidP="00750D09">
                      <w:pPr>
                        <w:ind w:firstLineChars="100" w:firstLine="240"/>
                        <w:rPr>
                          <w:rFonts w:ascii="Meiryo UI" w:hAnsi="Meiryo UI"/>
                          <w:sz w:val="24"/>
                        </w:rPr>
                      </w:pPr>
                      <w:r w:rsidRPr="00846F68">
                        <w:rPr>
                          <w:rFonts w:ascii="Meiryo UI" w:hAnsi="Meiryo UI" w:hint="eastAsia"/>
                          <w:sz w:val="24"/>
                        </w:rPr>
                        <w:t>投資・財政計画(収支計画)は、以下の考え方に基づき、作成している。</w:t>
                      </w:r>
                    </w:p>
                    <w:p w14:paraId="1F410A6D" w14:textId="5FEB3602" w:rsidR="00750D09" w:rsidRPr="00846F68" w:rsidRDefault="00750D09" w:rsidP="00750D09">
                      <w:pPr>
                        <w:ind w:left="120" w:hangingChars="50" w:hanging="120"/>
                        <w:rPr>
                          <w:rFonts w:ascii="Meiryo UI" w:hAnsi="Meiryo UI"/>
                          <w:sz w:val="24"/>
                        </w:rPr>
                      </w:pPr>
                      <w:r w:rsidRPr="00846F68">
                        <w:rPr>
                          <w:rFonts w:ascii="Meiryo UI" w:hAnsi="Meiryo UI" w:hint="eastAsia"/>
                          <w:sz w:val="24"/>
                        </w:rPr>
                        <w:t xml:space="preserve">　</w:t>
                      </w:r>
                    </w:p>
                    <w:p w14:paraId="6CCF6EA1" w14:textId="32B3DAA3" w:rsidR="00750D09" w:rsidRPr="00750D09" w:rsidRDefault="00750D09" w:rsidP="00750D09">
                      <w:pPr>
                        <w:pStyle w:val="Web"/>
                        <w:spacing w:before="0" w:beforeAutospacing="0" w:after="0" w:afterAutospacing="0"/>
                        <w:rPr>
                          <w:rFonts w:asciiTheme="minorHAnsi" w:eastAsia="HG丸ｺﾞｼｯｸM-PRO" w:hAnsi="HG丸ｺﾞｼｯｸM-PRO" w:cs="Times New Roman"/>
                          <w:color w:val="000000" w:themeColor="text1"/>
                          <w:kern w:val="2"/>
                          <w:szCs w:val="32"/>
                        </w:rPr>
                      </w:pPr>
                    </w:p>
                  </w:txbxContent>
                </v:textbox>
                <w10:wrap anchorx="margin"/>
              </v:shape>
            </w:pict>
          </mc:Fallback>
        </mc:AlternateContent>
      </w:r>
    </w:p>
    <w:p w14:paraId="6E36861F" w14:textId="7A132622" w:rsidR="00750D09" w:rsidRDefault="00750D09" w:rsidP="00FD1C12"/>
    <w:p w14:paraId="4888A8F6" w14:textId="2A97471F" w:rsidR="001E6D5C" w:rsidRDefault="001E6D5C" w:rsidP="00FD1C12"/>
    <w:p w14:paraId="0AD07AE1" w14:textId="77E22AB0" w:rsidR="001E6D5C" w:rsidRDefault="00607A7D" w:rsidP="00FD1C12">
      <w:r w:rsidRPr="00607A7D">
        <w:rPr>
          <w:noProof/>
        </w:rPr>
        <w:drawing>
          <wp:anchor distT="0" distB="0" distL="114300" distR="114300" simplePos="0" relativeHeight="251979776" behindDoc="0" locked="0" layoutInCell="1" allowOverlap="1" wp14:anchorId="76F9B256" wp14:editId="3DF6A5ED">
            <wp:simplePos x="0" y="0"/>
            <wp:positionH relativeFrom="column">
              <wp:posOffset>13335</wp:posOffset>
            </wp:positionH>
            <wp:positionV relativeFrom="paragraph">
              <wp:posOffset>13335</wp:posOffset>
            </wp:positionV>
            <wp:extent cx="6120765" cy="354901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549015"/>
                    </a:xfrm>
                    <a:prstGeom prst="rect">
                      <a:avLst/>
                    </a:prstGeom>
                    <a:noFill/>
                    <a:ln>
                      <a:noFill/>
                    </a:ln>
                  </pic:spPr>
                </pic:pic>
              </a:graphicData>
            </a:graphic>
          </wp:anchor>
        </w:drawing>
      </w:r>
    </w:p>
    <w:p w14:paraId="4ED49EC9" w14:textId="7638B0C3" w:rsidR="001E6D5C" w:rsidRDefault="001E6D5C" w:rsidP="00FD1C12"/>
    <w:p w14:paraId="33235522" w14:textId="4B09DA37" w:rsidR="00A515AC" w:rsidRDefault="00A515AC" w:rsidP="00FD1C12"/>
    <w:p w14:paraId="2A6AA0CB" w14:textId="0D30A78E" w:rsidR="00A515AC" w:rsidRDefault="00A515AC" w:rsidP="00FD1C12"/>
    <w:p w14:paraId="49395C76" w14:textId="554FD120" w:rsidR="00A515AC" w:rsidRDefault="00A515AC" w:rsidP="00FD1C12"/>
    <w:p w14:paraId="784D9675" w14:textId="4A64960A" w:rsidR="00A515AC" w:rsidRDefault="00A515AC" w:rsidP="00FD1C12"/>
    <w:p w14:paraId="2337E997" w14:textId="41284B58" w:rsidR="00A515AC" w:rsidRDefault="00A515AC" w:rsidP="00FD1C12"/>
    <w:p w14:paraId="7D79BF35" w14:textId="0AD8B9AC" w:rsidR="00A515AC" w:rsidRDefault="00A515AC" w:rsidP="00FD1C12"/>
    <w:p w14:paraId="73F78B62" w14:textId="53B10014" w:rsidR="00A515AC" w:rsidRDefault="00A515AC" w:rsidP="00FD1C12"/>
    <w:p w14:paraId="15577957" w14:textId="59B8C6E6" w:rsidR="00A515AC" w:rsidRDefault="00A515AC" w:rsidP="00FD1C12"/>
    <w:p w14:paraId="64240E29" w14:textId="15162B58" w:rsidR="00A515AC" w:rsidRDefault="00A515AC" w:rsidP="00FD1C12"/>
    <w:p w14:paraId="32300758" w14:textId="15A6F6FE" w:rsidR="00A515AC" w:rsidRDefault="00A515AC" w:rsidP="00FD1C12"/>
    <w:p w14:paraId="3E6D84E2" w14:textId="27C488F1" w:rsidR="00A515AC" w:rsidRDefault="00A515AC" w:rsidP="00FD1C12"/>
    <w:p w14:paraId="4314E19F" w14:textId="46416188" w:rsidR="00A515AC" w:rsidRDefault="00A515AC" w:rsidP="00FD1C12"/>
    <w:p w14:paraId="5E3BE0E4" w14:textId="2757566F" w:rsidR="00A515AC" w:rsidRDefault="00A515AC" w:rsidP="00FD1C12"/>
    <w:p w14:paraId="4985EB27" w14:textId="0DA1A1F6" w:rsidR="00A515AC" w:rsidRDefault="00A515AC" w:rsidP="00FD1C12"/>
    <w:p w14:paraId="241954B6" w14:textId="0CCF0947" w:rsidR="00A515AC" w:rsidRDefault="00607A7D" w:rsidP="00FD1C12">
      <w:r w:rsidRPr="00607A7D">
        <w:rPr>
          <w:noProof/>
        </w:rPr>
        <w:drawing>
          <wp:anchor distT="0" distB="0" distL="114300" distR="114300" simplePos="0" relativeHeight="251980800" behindDoc="0" locked="0" layoutInCell="1" allowOverlap="1" wp14:anchorId="1CA0F272" wp14:editId="16EC0A22">
            <wp:simplePos x="0" y="0"/>
            <wp:positionH relativeFrom="column">
              <wp:posOffset>3810</wp:posOffset>
            </wp:positionH>
            <wp:positionV relativeFrom="paragraph">
              <wp:posOffset>6985</wp:posOffset>
            </wp:positionV>
            <wp:extent cx="6120765" cy="147637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476375"/>
                    </a:xfrm>
                    <a:prstGeom prst="rect">
                      <a:avLst/>
                    </a:prstGeom>
                    <a:noFill/>
                    <a:ln>
                      <a:noFill/>
                    </a:ln>
                  </pic:spPr>
                </pic:pic>
              </a:graphicData>
            </a:graphic>
          </wp:anchor>
        </w:drawing>
      </w:r>
    </w:p>
    <w:p w14:paraId="22AD920B" w14:textId="025A262D" w:rsidR="00A515AC" w:rsidRDefault="00A515AC" w:rsidP="00FD1C12"/>
    <w:p w14:paraId="5F015A97" w14:textId="07BAE892" w:rsidR="00A515AC" w:rsidRDefault="00A515AC" w:rsidP="00FD1C12"/>
    <w:p w14:paraId="7C854DD8" w14:textId="38C60F7D" w:rsidR="00A515AC" w:rsidRDefault="00A515AC" w:rsidP="00FD1C12"/>
    <w:p w14:paraId="584BF0E7" w14:textId="64AB1199" w:rsidR="00A515AC" w:rsidRDefault="00A515AC" w:rsidP="00FD1C12"/>
    <w:p w14:paraId="7C3D5F7F" w14:textId="7E3D1CCC" w:rsidR="00A515AC" w:rsidRDefault="00A515AC" w:rsidP="00FD1C12"/>
    <w:p w14:paraId="73EC7C04" w14:textId="7C508413" w:rsidR="00A515AC" w:rsidRDefault="00A515AC" w:rsidP="00FD1C12"/>
    <w:p w14:paraId="01B624E4" w14:textId="65AEA998" w:rsidR="001E6D5C" w:rsidRDefault="001E6D5C" w:rsidP="00FD1C12"/>
    <w:p w14:paraId="6C609782" w14:textId="57B8D17E" w:rsidR="00A515AC" w:rsidRDefault="00A515AC" w:rsidP="00FD1C12"/>
    <w:p w14:paraId="1676D6FB" w14:textId="7B5898CF" w:rsidR="00A515AC" w:rsidRPr="001E6D5C" w:rsidRDefault="00A515AC" w:rsidP="00FD1C12"/>
    <w:sectPr w:rsidR="00A515AC" w:rsidRPr="001E6D5C" w:rsidSect="003C4EC1">
      <w:footerReference w:type="default" r:id="rId17"/>
      <w:pgSz w:w="11907" w:h="16840" w:code="9"/>
      <w:pgMar w:top="1134" w:right="1134" w:bottom="1418" w:left="1134"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44223" w14:textId="77777777" w:rsidR="00395731" w:rsidRDefault="00395731" w:rsidP="00563516">
      <w:r>
        <w:separator/>
      </w:r>
    </w:p>
    <w:p w14:paraId="6D43A194" w14:textId="77777777" w:rsidR="00395731" w:rsidRDefault="00395731" w:rsidP="00563516"/>
  </w:endnote>
  <w:endnote w:type="continuationSeparator" w:id="0">
    <w:p w14:paraId="5215AEC0" w14:textId="77777777" w:rsidR="00395731" w:rsidRDefault="00395731" w:rsidP="00563516">
      <w:r>
        <w:continuationSeparator/>
      </w:r>
    </w:p>
    <w:p w14:paraId="1143A414" w14:textId="77777777" w:rsidR="00395731" w:rsidRDefault="00395731" w:rsidP="00563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44A3" w14:textId="3195549A" w:rsidR="00395731" w:rsidRDefault="00395731" w:rsidP="00DB049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F5CA7" w14:textId="77777777" w:rsidR="00395731" w:rsidRDefault="00395731" w:rsidP="00563516">
      <w:r>
        <w:separator/>
      </w:r>
    </w:p>
    <w:p w14:paraId="7B1A92EB" w14:textId="77777777" w:rsidR="00395731" w:rsidRDefault="00395731" w:rsidP="00563516"/>
  </w:footnote>
  <w:footnote w:type="continuationSeparator" w:id="0">
    <w:p w14:paraId="2BCD70C6" w14:textId="77777777" w:rsidR="00395731" w:rsidRDefault="00395731" w:rsidP="00563516">
      <w:r>
        <w:continuationSeparator/>
      </w:r>
    </w:p>
    <w:p w14:paraId="5D6DDE30" w14:textId="77777777" w:rsidR="00395731" w:rsidRDefault="00395731" w:rsidP="005635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3FC"/>
    <w:multiLevelType w:val="hybridMultilevel"/>
    <w:tmpl w:val="53A8AED8"/>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B7D3C"/>
    <w:multiLevelType w:val="hybridMultilevel"/>
    <w:tmpl w:val="5678C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738B1"/>
    <w:multiLevelType w:val="hybridMultilevel"/>
    <w:tmpl w:val="95EE5480"/>
    <w:lvl w:ilvl="0" w:tplc="15FE0804">
      <w:numFmt w:val="bullet"/>
      <w:pStyle w:val="a"/>
      <w:lvlText w:val="・"/>
      <w:lvlJc w:val="left"/>
      <w:pPr>
        <w:ind w:left="927" w:hanging="360"/>
      </w:pPr>
      <w:rPr>
        <w:rFonts w:ascii="Meiryo UI" w:eastAsia="Meiryo UI" w:hAnsi="Meiryo UI" w:cs="Meiryo U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10A95BB1"/>
    <w:multiLevelType w:val="hybridMultilevel"/>
    <w:tmpl w:val="D218A1C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1B16476E"/>
    <w:multiLevelType w:val="hybridMultilevel"/>
    <w:tmpl w:val="112639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191EF7"/>
    <w:multiLevelType w:val="hybridMultilevel"/>
    <w:tmpl w:val="0A606754"/>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F4336F"/>
    <w:multiLevelType w:val="hybridMultilevel"/>
    <w:tmpl w:val="AF8C0590"/>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64515E"/>
    <w:multiLevelType w:val="hybridMultilevel"/>
    <w:tmpl w:val="8D7090E2"/>
    <w:lvl w:ilvl="0" w:tplc="48545120">
      <w:numFmt w:val="bullet"/>
      <w:lvlText w:val="・"/>
      <w:lvlJc w:val="left"/>
      <w:pPr>
        <w:ind w:left="643" w:hanging="360"/>
      </w:pPr>
      <w:rPr>
        <w:rFonts w:ascii="Meiryo UI" w:eastAsia="Meiryo UI" w:hAnsi="Meiryo UI" w:cs="Meiryo U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3382405F"/>
    <w:multiLevelType w:val="hybridMultilevel"/>
    <w:tmpl w:val="92D45D92"/>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DF3C91"/>
    <w:multiLevelType w:val="hybridMultilevel"/>
    <w:tmpl w:val="66A68568"/>
    <w:lvl w:ilvl="0" w:tplc="4B205A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6C6314"/>
    <w:multiLevelType w:val="hybridMultilevel"/>
    <w:tmpl w:val="13DAE732"/>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231886"/>
    <w:multiLevelType w:val="hybridMultilevel"/>
    <w:tmpl w:val="F142381C"/>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A20FB2"/>
    <w:multiLevelType w:val="hybridMultilevel"/>
    <w:tmpl w:val="D4AA25EE"/>
    <w:lvl w:ilvl="0" w:tplc="4B205A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076F40"/>
    <w:multiLevelType w:val="hybridMultilevel"/>
    <w:tmpl w:val="0D5607C0"/>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5E2135"/>
    <w:multiLevelType w:val="hybridMultilevel"/>
    <w:tmpl w:val="388836DC"/>
    <w:lvl w:ilvl="0" w:tplc="48545120">
      <w:numFmt w:val="bullet"/>
      <w:lvlText w:val="・"/>
      <w:lvlJc w:val="left"/>
      <w:pPr>
        <w:ind w:left="927" w:hanging="360"/>
      </w:pPr>
      <w:rPr>
        <w:rFonts w:ascii="Meiryo UI" w:eastAsia="Meiryo UI" w:hAnsi="Meiryo UI" w:cs="Meiryo U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494E7155"/>
    <w:multiLevelType w:val="hybridMultilevel"/>
    <w:tmpl w:val="35C41AA6"/>
    <w:lvl w:ilvl="0" w:tplc="4B205A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8B62A7"/>
    <w:multiLevelType w:val="hybridMultilevel"/>
    <w:tmpl w:val="E3DAA50A"/>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2B737A"/>
    <w:multiLevelType w:val="hybridMultilevel"/>
    <w:tmpl w:val="DC7CFCE8"/>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BA7498"/>
    <w:multiLevelType w:val="hybridMultilevel"/>
    <w:tmpl w:val="7E38B298"/>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B57A32"/>
    <w:multiLevelType w:val="hybridMultilevel"/>
    <w:tmpl w:val="3FCCF662"/>
    <w:lvl w:ilvl="0" w:tplc="B2424142">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E47728"/>
    <w:multiLevelType w:val="hybridMultilevel"/>
    <w:tmpl w:val="524ED924"/>
    <w:lvl w:ilvl="0" w:tplc="17D80438">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4"/>
  </w:num>
  <w:num w:numId="3">
    <w:abstractNumId w:val="10"/>
  </w:num>
  <w:num w:numId="4">
    <w:abstractNumId w:val="6"/>
  </w:num>
  <w:num w:numId="5">
    <w:abstractNumId w:val="0"/>
  </w:num>
  <w:num w:numId="6">
    <w:abstractNumId w:val="11"/>
  </w:num>
  <w:num w:numId="7">
    <w:abstractNumId w:val="5"/>
  </w:num>
  <w:num w:numId="8">
    <w:abstractNumId w:val="19"/>
  </w:num>
  <w:num w:numId="9">
    <w:abstractNumId w:val="16"/>
  </w:num>
  <w:num w:numId="10">
    <w:abstractNumId w:val="17"/>
  </w:num>
  <w:num w:numId="11">
    <w:abstractNumId w:val="18"/>
  </w:num>
  <w:num w:numId="12">
    <w:abstractNumId w:val="8"/>
  </w:num>
  <w:num w:numId="13">
    <w:abstractNumId w:val="13"/>
  </w:num>
  <w:num w:numId="14">
    <w:abstractNumId w:val="1"/>
  </w:num>
  <w:num w:numId="15">
    <w:abstractNumId w:val="9"/>
  </w:num>
  <w:num w:numId="16">
    <w:abstractNumId w:val="15"/>
  </w:num>
  <w:num w:numId="17">
    <w:abstractNumId w:val="12"/>
  </w:num>
  <w:num w:numId="18">
    <w:abstractNumId w:val="3"/>
  </w:num>
  <w:num w:numId="19">
    <w:abstractNumId w:val="7"/>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30"/>
    <w:rsid w:val="00001E7B"/>
    <w:rsid w:val="00006DE5"/>
    <w:rsid w:val="000074B8"/>
    <w:rsid w:val="00010CBA"/>
    <w:rsid w:val="00012A78"/>
    <w:rsid w:val="00022507"/>
    <w:rsid w:val="00027077"/>
    <w:rsid w:val="00035914"/>
    <w:rsid w:val="00036485"/>
    <w:rsid w:val="00036E52"/>
    <w:rsid w:val="00047C41"/>
    <w:rsid w:val="00050613"/>
    <w:rsid w:val="0005564A"/>
    <w:rsid w:val="00056654"/>
    <w:rsid w:val="000575B8"/>
    <w:rsid w:val="000579C9"/>
    <w:rsid w:val="00063997"/>
    <w:rsid w:val="000700E4"/>
    <w:rsid w:val="00077800"/>
    <w:rsid w:val="00081E50"/>
    <w:rsid w:val="00081EB8"/>
    <w:rsid w:val="00084C04"/>
    <w:rsid w:val="00087D13"/>
    <w:rsid w:val="000920B1"/>
    <w:rsid w:val="00094B95"/>
    <w:rsid w:val="00094E76"/>
    <w:rsid w:val="00095242"/>
    <w:rsid w:val="000953EB"/>
    <w:rsid w:val="000A02DB"/>
    <w:rsid w:val="000A2763"/>
    <w:rsid w:val="000A477B"/>
    <w:rsid w:val="000A726E"/>
    <w:rsid w:val="000B58DB"/>
    <w:rsid w:val="000C0451"/>
    <w:rsid w:val="000C0570"/>
    <w:rsid w:val="000C0D45"/>
    <w:rsid w:val="000C2406"/>
    <w:rsid w:val="000C3195"/>
    <w:rsid w:val="000C6402"/>
    <w:rsid w:val="000D0B80"/>
    <w:rsid w:val="000D28EF"/>
    <w:rsid w:val="000D4267"/>
    <w:rsid w:val="000D4C48"/>
    <w:rsid w:val="000D7F7D"/>
    <w:rsid w:val="000E06E6"/>
    <w:rsid w:val="000E3260"/>
    <w:rsid w:val="000E4E68"/>
    <w:rsid w:val="000F0F08"/>
    <w:rsid w:val="000F5B7E"/>
    <w:rsid w:val="000F647E"/>
    <w:rsid w:val="00102386"/>
    <w:rsid w:val="00104C83"/>
    <w:rsid w:val="0012095D"/>
    <w:rsid w:val="00123A35"/>
    <w:rsid w:val="00124C0F"/>
    <w:rsid w:val="001256FF"/>
    <w:rsid w:val="00132E2D"/>
    <w:rsid w:val="00133139"/>
    <w:rsid w:val="00135E41"/>
    <w:rsid w:val="00145094"/>
    <w:rsid w:val="00155BB3"/>
    <w:rsid w:val="00160A1A"/>
    <w:rsid w:val="00174566"/>
    <w:rsid w:val="00180D85"/>
    <w:rsid w:val="00180EC9"/>
    <w:rsid w:val="00181629"/>
    <w:rsid w:val="001827C0"/>
    <w:rsid w:val="001835D4"/>
    <w:rsid w:val="00186257"/>
    <w:rsid w:val="00187FCD"/>
    <w:rsid w:val="001900D8"/>
    <w:rsid w:val="00191C7C"/>
    <w:rsid w:val="001920EE"/>
    <w:rsid w:val="00192D1C"/>
    <w:rsid w:val="00193A5B"/>
    <w:rsid w:val="00194F2F"/>
    <w:rsid w:val="001952B5"/>
    <w:rsid w:val="001A2638"/>
    <w:rsid w:val="001A2F6B"/>
    <w:rsid w:val="001A6CC8"/>
    <w:rsid w:val="001B464E"/>
    <w:rsid w:val="001B47D2"/>
    <w:rsid w:val="001B676F"/>
    <w:rsid w:val="001C1DBF"/>
    <w:rsid w:val="001C4345"/>
    <w:rsid w:val="001D0EE9"/>
    <w:rsid w:val="001D1EC9"/>
    <w:rsid w:val="001D24DB"/>
    <w:rsid w:val="001D4BDF"/>
    <w:rsid w:val="001D5B8D"/>
    <w:rsid w:val="001D66EB"/>
    <w:rsid w:val="001E015D"/>
    <w:rsid w:val="001E0B7B"/>
    <w:rsid w:val="001E1741"/>
    <w:rsid w:val="001E1F48"/>
    <w:rsid w:val="001E2A22"/>
    <w:rsid w:val="001E45A4"/>
    <w:rsid w:val="001E6D5C"/>
    <w:rsid w:val="001F4D0F"/>
    <w:rsid w:val="001F5E86"/>
    <w:rsid w:val="001F72E2"/>
    <w:rsid w:val="00200440"/>
    <w:rsid w:val="00205918"/>
    <w:rsid w:val="00214A0A"/>
    <w:rsid w:val="002160EF"/>
    <w:rsid w:val="002275C2"/>
    <w:rsid w:val="00237593"/>
    <w:rsid w:val="00241946"/>
    <w:rsid w:val="002436D3"/>
    <w:rsid w:val="00244080"/>
    <w:rsid w:val="002442C4"/>
    <w:rsid w:val="00247012"/>
    <w:rsid w:val="00250D11"/>
    <w:rsid w:val="00251429"/>
    <w:rsid w:val="00255D26"/>
    <w:rsid w:val="0025625E"/>
    <w:rsid w:val="00256FFE"/>
    <w:rsid w:val="0026075C"/>
    <w:rsid w:val="00263D38"/>
    <w:rsid w:val="002702E0"/>
    <w:rsid w:val="00272E54"/>
    <w:rsid w:val="0027335A"/>
    <w:rsid w:val="00282060"/>
    <w:rsid w:val="002844E8"/>
    <w:rsid w:val="002854F3"/>
    <w:rsid w:val="00290ACC"/>
    <w:rsid w:val="0029175F"/>
    <w:rsid w:val="00292D52"/>
    <w:rsid w:val="00296F52"/>
    <w:rsid w:val="002978DF"/>
    <w:rsid w:val="002A201A"/>
    <w:rsid w:val="002A505F"/>
    <w:rsid w:val="002B0070"/>
    <w:rsid w:val="002B52C1"/>
    <w:rsid w:val="002C7A9F"/>
    <w:rsid w:val="002C7B9E"/>
    <w:rsid w:val="002D196C"/>
    <w:rsid w:val="002D2799"/>
    <w:rsid w:val="002D3D9B"/>
    <w:rsid w:val="002D415C"/>
    <w:rsid w:val="002D4402"/>
    <w:rsid w:val="002D4741"/>
    <w:rsid w:val="002E3207"/>
    <w:rsid w:val="002E37AE"/>
    <w:rsid w:val="002F15DF"/>
    <w:rsid w:val="002F4702"/>
    <w:rsid w:val="002F4FF6"/>
    <w:rsid w:val="002F5D56"/>
    <w:rsid w:val="002F5EFE"/>
    <w:rsid w:val="00302E5B"/>
    <w:rsid w:val="003060DA"/>
    <w:rsid w:val="003101E4"/>
    <w:rsid w:val="00315B29"/>
    <w:rsid w:val="00316E99"/>
    <w:rsid w:val="0031733F"/>
    <w:rsid w:val="0032251D"/>
    <w:rsid w:val="0032668A"/>
    <w:rsid w:val="00330553"/>
    <w:rsid w:val="003345A5"/>
    <w:rsid w:val="00334E06"/>
    <w:rsid w:val="00342927"/>
    <w:rsid w:val="00343951"/>
    <w:rsid w:val="0034402C"/>
    <w:rsid w:val="00354862"/>
    <w:rsid w:val="0035658A"/>
    <w:rsid w:val="00362727"/>
    <w:rsid w:val="00362B41"/>
    <w:rsid w:val="0036393C"/>
    <w:rsid w:val="00363B4A"/>
    <w:rsid w:val="00364A30"/>
    <w:rsid w:val="0036625C"/>
    <w:rsid w:val="0037533B"/>
    <w:rsid w:val="00383F96"/>
    <w:rsid w:val="00385B9B"/>
    <w:rsid w:val="003914B9"/>
    <w:rsid w:val="00395731"/>
    <w:rsid w:val="003962A2"/>
    <w:rsid w:val="00396AA5"/>
    <w:rsid w:val="003A1E2D"/>
    <w:rsid w:val="003A544B"/>
    <w:rsid w:val="003A60B6"/>
    <w:rsid w:val="003A6AC3"/>
    <w:rsid w:val="003B342B"/>
    <w:rsid w:val="003B4AA5"/>
    <w:rsid w:val="003B5B67"/>
    <w:rsid w:val="003C0669"/>
    <w:rsid w:val="003C308C"/>
    <w:rsid w:val="003C4EC1"/>
    <w:rsid w:val="003D1570"/>
    <w:rsid w:val="003D2EF9"/>
    <w:rsid w:val="003D3F62"/>
    <w:rsid w:val="003D4C0C"/>
    <w:rsid w:val="003D510E"/>
    <w:rsid w:val="003D665A"/>
    <w:rsid w:val="003D7ABB"/>
    <w:rsid w:val="003E087B"/>
    <w:rsid w:val="003E3198"/>
    <w:rsid w:val="003E4E84"/>
    <w:rsid w:val="003F0CCC"/>
    <w:rsid w:val="003F4AED"/>
    <w:rsid w:val="003F5CCB"/>
    <w:rsid w:val="0041063C"/>
    <w:rsid w:val="004127E6"/>
    <w:rsid w:val="0041628F"/>
    <w:rsid w:val="00416395"/>
    <w:rsid w:val="00416CA1"/>
    <w:rsid w:val="00417CF3"/>
    <w:rsid w:val="00420890"/>
    <w:rsid w:val="00421370"/>
    <w:rsid w:val="004277A6"/>
    <w:rsid w:val="00431606"/>
    <w:rsid w:val="00436937"/>
    <w:rsid w:val="004421B8"/>
    <w:rsid w:val="00443A91"/>
    <w:rsid w:val="00451D38"/>
    <w:rsid w:val="00457444"/>
    <w:rsid w:val="004579B7"/>
    <w:rsid w:val="00461D20"/>
    <w:rsid w:val="004625C6"/>
    <w:rsid w:val="00462741"/>
    <w:rsid w:val="00470991"/>
    <w:rsid w:val="00474A70"/>
    <w:rsid w:val="004761DD"/>
    <w:rsid w:val="00480FD0"/>
    <w:rsid w:val="00482318"/>
    <w:rsid w:val="00483548"/>
    <w:rsid w:val="0048501B"/>
    <w:rsid w:val="00485072"/>
    <w:rsid w:val="00486DD6"/>
    <w:rsid w:val="0048708D"/>
    <w:rsid w:val="00490239"/>
    <w:rsid w:val="00490311"/>
    <w:rsid w:val="00491073"/>
    <w:rsid w:val="00491FD6"/>
    <w:rsid w:val="00492818"/>
    <w:rsid w:val="0049390C"/>
    <w:rsid w:val="0049483A"/>
    <w:rsid w:val="004A56F6"/>
    <w:rsid w:val="004A6887"/>
    <w:rsid w:val="004A68E8"/>
    <w:rsid w:val="004B392B"/>
    <w:rsid w:val="004B4710"/>
    <w:rsid w:val="004B6376"/>
    <w:rsid w:val="004C1BEB"/>
    <w:rsid w:val="004C61CC"/>
    <w:rsid w:val="004D54B8"/>
    <w:rsid w:val="004D6A16"/>
    <w:rsid w:val="004E465C"/>
    <w:rsid w:val="004E4C90"/>
    <w:rsid w:val="004E6805"/>
    <w:rsid w:val="004F053E"/>
    <w:rsid w:val="004F2F9A"/>
    <w:rsid w:val="004F3281"/>
    <w:rsid w:val="004F5D49"/>
    <w:rsid w:val="00505648"/>
    <w:rsid w:val="00507F3B"/>
    <w:rsid w:val="00510A62"/>
    <w:rsid w:val="005116B3"/>
    <w:rsid w:val="00513FE3"/>
    <w:rsid w:val="005148AB"/>
    <w:rsid w:val="00520857"/>
    <w:rsid w:val="00522585"/>
    <w:rsid w:val="00527303"/>
    <w:rsid w:val="00531284"/>
    <w:rsid w:val="005412BD"/>
    <w:rsid w:val="00542716"/>
    <w:rsid w:val="0054430A"/>
    <w:rsid w:val="00554BA0"/>
    <w:rsid w:val="005619DF"/>
    <w:rsid w:val="00563516"/>
    <w:rsid w:val="00565F06"/>
    <w:rsid w:val="00567C92"/>
    <w:rsid w:val="00570D60"/>
    <w:rsid w:val="0057219A"/>
    <w:rsid w:val="00582C3D"/>
    <w:rsid w:val="005830A2"/>
    <w:rsid w:val="00590CD5"/>
    <w:rsid w:val="0059494E"/>
    <w:rsid w:val="005A5DE7"/>
    <w:rsid w:val="005A686A"/>
    <w:rsid w:val="005B00CA"/>
    <w:rsid w:val="005B0CE1"/>
    <w:rsid w:val="005B0DD6"/>
    <w:rsid w:val="005C61ED"/>
    <w:rsid w:val="005C6685"/>
    <w:rsid w:val="005D1FBB"/>
    <w:rsid w:val="005D4271"/>
    <w:rsid w:val="005E3337"/>
    <w:rsid w:val="005E42BC"/>
    <w:rsid w:val="005F02C7"/>
    <w:rsid w:val="005F1C3A"/>
    <w:rsid w:val="005F1C7D"/>
    <w:rsid w:val="005F2D11"/>
    <w:rsid w:val="005F2FE2"/>
    <w:rsid w:val="005F30B6"/>
    <w:rsid w:val="005F38BB"/>
    <w:rsid w:val="005F7481"/>
    <w:rsid w:val="006022A1"/>
    <w:rsid w:val="00604C76"/>
    <w:rsid w:val="00607A7D"/>
    <w:rsid w:val="006100E7"/>
    <w:rsid w:val="00616288"/>
    <w:rsid w:val="00630305"/>
    <w:rsid w:val="006317F4"/>
    <w:rsid w:val="006332C9"/>
    <w:rsid w:val="0063798A"/>
    <w:rsid w:val="006428A5"/>
    <w:rsid w:val="00643F72"/>
    <w:rsid w:val="006501A9"/>
    <w:rsid w:val="00650941"/>
    <w:rsid w:val="00650AB1"/>
    <w:rsid w:val="00650B8A"/>
    <w:rsid w:val="006565C9"/>
    <w:rsid w:val="006679CA"/>
    <w:rsid w:val="00670D00"/>
    <w:rsid w:val="006726DB"/>
    <w:rsid w:val="00672E5F"/>
    <w:rsid w:val="00673655"/>
    <w:rsid w:val="006745FC"/>
    <w:rsid w:val="00676CC2"/>
    <w:rsid w:val="00690967"/>
    <w:rsid w:val="006923AA"/>
    <w:rsid w:val="006A088A"/>
    <w:rsid w:val="006A0C16"/>
    <w:rsid w:val="006A29B6"/>
    <w:rsid w:val="006A36DE"/>
    <w:rsid w:val="006A47F6"/>
    <w:rsid w:val="006A4D03"/>
    <w:rsid w:val="006C3042"/>
    <w:rsid w:val="006C4524"/>
    <w:rsid w:val="006C5B6B"/>
    <w:rsid w:val="006C602B"/>
    <w:rsid w:val="006C6EE5"/>
    <w:rsid w:val="006D0C84"/>
    <w:rsid w:val="006D3E0E"/>
    <w:rsid w:val="006D5772"/>
    <w:rsid w:val="006D72DE"/>
    <w:rsid w:val="006E112D"/>
    <w:rsid w:val="006E2AB5"/>
    <w:rsid w:val="006E2F39"/>
    <w:rsid w:val="006E6F86"/>
    <w:rsid w:val="006E7A50"/>
    <w:rsid w:val="006F5855"/>
    <w:rsid w:val="0070106D"/>
    <w:rsid w:val="00707D7E"/>
    <w:rsid w:val="007109DE"/>
    <w:rsid w:val="00711551"/>
    <w:rsid w:val="00712E23"/>
    <w:rsid w:val="00717BBE"/>
    <w:rsid w:val="00720847"/>
    <w:rsid w:val="00730F7B"/>
    <w:rsid w:val="00731D97"/>
    <w:rsid w:val="00732A79"/>
    <w:rsid w:val="0073371B"/>
    <w:rsid w:val="007350AF"/>
    <w:rsid w:val="0073620E"/>
    <w:rsid w:val="0074607C"/>
    <w:rsid w:val="007475EC"/>
    <w:rsid w:val="00750D09"/>
    <w:rsid w:val="0076668A"/>
    <w:rsid w:val="00770120"/>
    <w:rsid w:val="0077288B"/>
    <w:rsid w:val="00785597"/>
    <w:rsid w:val="00794F91"/>
    <w:rsid w:val="007A171F"/>
    <w:rsid w:val="007A25A3"/>
    <w:rsid w:val="007A3E60"/>
    <w:rsid w:val="007B2598"/>
    <w:rsid w:val="007B666C"/>
    <w:rsid w:val="007C4451"/>
    <w:rsid w:val="007C5894"/>
    <w:rsid w:val="007D6021"/>
    <w:rsid w:val="007D6D92"/>
    <w:rsid w:val="007E2C52"/>
    <w:rsid w:val="007E40CD"/>
    <w:rsid w:val="007F29B9"/>
    <w:rsid w:val="007F7B38"/>
    <w:rsid w:val="00807EE7"/>
    <w:rsid w:val="00813BD4"/>
    <w:rsid w:val="0081603F"/>
    <w:rsid w:val="00821273"/>
    <w:rsid w:val="00822237"/>
    <w:rsid w:val="008232F9"/>
    <w:rsid w:val="008263CC"/>
    <w:rsid w:val="00826B3C"/>
    <w:rsid w:val="008338AF"/>
    <w:rsid w:val="00836DA2"/>
    <w:rsid w:val="00836EA7"/>
    <w:rsid w:val="00840EBD"/>
    <w:rsid w:val="008419CE"/>
    <w:rsid w:val="0084204F"/>
    <w:rsid w:val="00844117"/>
    <w:rsid w:val="00844986"/>
    <w:rsid w:val="00845A92"/>
    <w:rsid w:val="00846BC3"/>
    <w:rsid w:val="00846EDF"/>
    <w:rsid w:val="00846F68"/>
    <w:rsid w:val="008524F6"/>
    <w:rsid w:val="008533DE"/>
    <w:rsid w:val="008573F0"/>
    <w:rsid w:val="008602F0"/>
    <w:rsid w:val="008625C2"/>
    <w:rsid w:val="008636D4"/>
    <w:rsid w:val="008639D1"/>
    <w:rsid w:val="0086419E"/>
    <w:rsid w:val="0086511A"/>
    <w:rsid w:val="00871BF2"/>
    <w:rsid w:val="00871F3F"/>
    <w:rsid w:val="00872CE8"/>
    <w:rsid w:val="00875339"/>
    <w:rsid w:val="00884B46"/>
    <w:rsid w:val="008870FC"/>
    <w:rsid w:val="0089306E"/>
    <w:rsid w:val="00894D1A"/>
    <w:rsid w:val="00897F9C"/>
    <w:rsid w:val="008A2DA7"/>
    <w:rsid w:val="008A38A9"/>
    <w:rsid w:val="008A4108"/>
    <w:rsid w:val="008A6050"/>
    <w:rsid w:val="008B1A88"/>
    <w:rsid w:val="008B2503"/>
    <w:rsid w:val="008B6802"/>
    <w:rsid w:val="008C5680"/>
    <w:rsid w:val="008C7172"/>
    <w:rsid w:val="008C7F50"/>
    <w:rsid w:val="008D27B5"/>
    <w:rsid w:val="008D515F"/>
    <w:rsid w:val="008D5E3E"/>
    <w:rsid w:val="008E0EE3"/>
    <w:rsid w:val="008E1102"/>
    <w:rsid w:val="008E3D08"/>
    <w:rsid w:val="008E7E91"/>
    <w:rsid w:val="008F2EFA"/>
    <w:rsid w:val="008F3B84"/>
    <w:rsid w:val="008F4DFC"/>
    <w:rsid w:val="00900AB9"/>
    <w:rsid w:val="00900F18"/>
    <w:rsid w:val="009058B3"/>
    <w:rsid w:val="009154CE"/>
    <w:rsid w:val="009157EB"/>
    <w:rsid w:val="00916095"/>
    <w:rsid w:val="00916262"/>
    <w:rsid w:val="0092030F"/>
    <w:rsid w:val="00927490"/>
    <w:rsid w:val="00931ED2"/>
    <w:rsid w:val="009373EB"/>
    <w:rsid w:val="0094430A"/>
    <w:rsid w:val="00944D93"/>
    <w:rsid w:val="0095072B"/>
    <w:rsid w:val="00950A28"/>
    <w:rsid w:val="0096092A"/>
    <w:rsid w:val="00964F50"/>
    <w:rsid w:val="00966783"/>
    <w:rsid w:val="00973E76"/>
    <w:rsid w:val="0097569F"/>
    <w:rsid w:val="009822F9"/>
    <w:rsid w:val="00982BEA"/>
    <w:rsid w:val="00985B90"/>
    <w:rsid w:val="009906D5"/>
    <w:rsid w:val="00995D61"/>
    <w:rsid w:val="009A0DFF"/>
    <w:rsid w:val="009B37B4"/>
    <w:rsid w:val="009B60B0"/>
    <w:rsid w:val="009C4B75"/>
    <w:rsid w:val="009D1177"/>
    <w:rsid w:val="009D23E6"/>
    <w:rsid w:val="009D3C00"/>
    <w:rsid w:val="009D5E11"/>
    <w:rsid w:val="009D5FF1"/>
    <w:rsid w:val="009D72C4"/>
    <w:rsid w:val="009F0FAF"/>
    <w:rsid w:val="009F0FCE"/>
    <w:rsid w:val="009F2AEC"/>
    <w:rsid w:val="009F2FDD"/>
    <w:rsid w:val="009F535A"/>
    <w:rsid w:val="009F662E"/>
    <w:rsid w:val="00A01776"/>
    <w:rsid w:val="00A024DC"/>
    <w:rsid w:val="00A062EB"/>
    <w:rsid w:val="00A13586"/>
    <w:rsid w:val="00A163FB"/>
    <w:rsid w:val="00A17F44"/>
    <w:rsid w:val="00A22E10"/>
    <w:rsid w:val="00A235FC"/>
    <w:rsid w:val="00A32773"/>
    <w:rsid w:val="00A32956"/>
    <w:rsid w:val="00A341F4"/>
    <w:rsid w:val="00A369AE"/>
    <w:rsid w:val="00A4112D"/>
    <w:rsid w:val="00A42069"/>
    <w:rsid w:val="00A45F14"/>
    <w:rsid w:val="00A515AC"/>
    <w:rsid w:val="00A51B38"/>
    <w:rsid w:val="00A51C58"/>
    <w:rsid w:val="00A51E64"/>
    <w:rsid w:val="00A61B76"/>
    <w:rsid w:val="00A65A2A"/>
    <w:rsid w:val="00A66D32"/>
    <w:rsid w:val="00A718A4"/>
    <w:rsid w:val="00A7324E"/>
    <w:rsid w:val="00A758DB"/>
    <w:rsid w:val="00A761DB"/>
    <w:rsid w:val="00A914AE"/>
    <w:rsid w:val="00A92A2F"/>
    <w:rsid w:val="00A933B2"/>
    <w:rsid w:val="00A95461"/>
    <w:rsid w:val="00A97EEB"/>
    <w:rsid w:val="00AA0528"/>
    <w:rsid w:val="00AA121B"/>
    <w:rsid w:val="00AA1392"/>
    <w:rsid w:val="00AA2740"/>
    <w:rsid w:val="00AB0A71"/>
    <w:rsid w:val="00AB3CE0"/>
    <w:rsid w:val="00AB4FB0"/>
    <w:rsid w:val="00AB733C"/>
    <w:rsid w:val="00AC423C"/>
    <w:rsid w:val="00AD048D"/>
    <w:rsid w:val="00AD0E59"/>
    <w:rsid w:val="00AD60B1"/>
    <w:rsid w:val="00AD7BBB"/>
    <w:rsid w:val="00AE7515"/>
    <w:rsid w:val="00AE7E5E"/>
    <w:rsid w:val="00AF6E8D"/>
    <w:rsid w:val="00B009ED"/>
    <w:rsid w:val="00B07456"/>
    <w:rsid w:val="00B07BB4"/>
    <w:rsid w:val="00B1314D"/>
    <w:rsid w:val="00B1518D"/>
    <w:rsid w:val="00B23186"/>
    <w:rsid w:val="00B353D2"/>
    <w:rsid w:val="00B36CE6"/>
    <w:rsid w:val="00B410A7"/>
    <w:rsid w:val="00B4244C"/>
    <w:rsid w:val="00B43A38"/>
    <w:rsid w:val="00B44382"/>
    <w:rsid w:val="00B44644"/>
    <w:rsid w:val="00B446C7"/>
    <w:rsid w:val="00B45438"/>
    <w:rsid w:val="00B5086F"/>
    <w:rsid w:val="00B50BB3"/>
    <w:rsid w:val="00B52189"/>
    <w:rsid w:val="00B524FC"/>
    <w:rsid w:val="00B57700"/>
    <w:rsid w:val="00B602F0"/>
    <w:rsid w:val="00B6376A"/>
    <w:rsid w:val="00B72721"/>
    <w:rsid w:val="00B80AF2"/>
    <w:rsid w:val="00B8411C"/>
    <w:rsid w:val="00B90636"/>
    <w:rsid w:val="00B93672"/>
    <w:rsid w:val="00BA1D5F"/>
    <w:rsid w:val="00BA4622"/>
    <w:rsid w:val="00BA49DD"/>
    <w:rsid w:val="00BA57C0"/>
    <w:rsid w:val="00BB38FB"/>
    <w:rsid w:val="00BB3AD1"/>
    <w:rsid w:val="00BB5525"/>
    <w:rsid w:val="00BC17A3"/>
    <w:rsid w:val="00BC1D22"/>
    <w:rsid w:val="00BC3E9D"/>
    <w:rsid w:val="00BC47B7"/>
    <w:rsid w:val="00BC4EAC"/>
    <w:rsid w:val="00BC6532"/>
    <w:rsid w:val="00BC7936"/>
    <w:rsid w:val="00BD38B7"/>
    <w:rsid w:val="00BE5F4F"/>
    <w:rsid w:val="00BE7BFC"/>
    <w:rsid w:val="00BF3CD7"/>
    <w:rsid w:val="00BF573F"/>
    <w:rsid w:val="00C00587"/>
    <w:rsid w:val="00C165EE"/>
    <w:rsid w:val="00C23DE9"/>
    <w:rsid w:val="00C270EA"/>
    <w:rsid w:val="00C3697E"/>
    <w:rsid w:val="00C37999"/>
    <w:rsid w:val="00C4143E"/>
    <w:rsid w:val="00C459F1"/>
    <w:rsid w:val="00C46735"/>
    <w:rsid w:val="00C4700B"/>
    <w:rsid w:val="00C5033D"/>
    <w:rsid w:val="00C5101D"/>
    <w:rsid w:val="00C51184"/>
    <w:rsid w:val="00C60217"/>
    <w:rsid w:val="00C61A05"/>
    <w:rsid w:val="00C71032"/>
    <w:rsid w:val="00C71590"/>
    <w:rsid w:val="00C717E8"/>
    <w:rsid w:val="00C74462"/>
    <w:rsid w:val="00C83A1E"/>
    <w:rsid w:val="00C84147"/>
    <w:rsid w:val="00C92CAC"/>
    <w:rsid w:val="00C9490E"/>
    <w:rsid w:val="00C94C27"/>
    <w:rsid w:val="00C95BB5"/>
    <w:rsid w:val="00C96976"/>
    <w:rsid w:val="00C96A8D"/>
    <w:rsid w:val="00CA424D"/>
    <w:rsid w:val="00CA50BF"/>
    <w:rsid w:val="00CA6591"/>
    <w:rsid w:val="00CB0737"/>
    <w:rsid w:val="00CB28ED"/>
    <w:rsid w:val="00CB4407"/>
    <w:rsid w:val="00CB5BA4"/>
    <w:rsid w:val="00CC02C1"/>
    <w:rsid w:val="00CD0080"/>
    <w:rsid w:val="00CD0E55"/>
    <w:rsid w:val="00CD12D4"/>
    <w:rsid w:val="00CD3E8B"/>
    <w:rsid w:val="00CE4A7B"/>
    <w:rsid w:val="00CE6B8E"/>
    <w:rsid w:val="00CE7624"/>
    <w:rsid w:val="00CF17CD"/>
    <w:rsid w:val="00CF1B5F"/>
    <w:rsid w:val="00CF2586"/>
    <w:rsid w:val="00CF3A48"/>
    <w:rsid w:val="00CF3A70"/>
    <w:rsid w:val="00CF560E"/>
    <w:rsid w:val="00CF6587"/>
    <w:rsid w:val="00D00B53"/>
    <w:rsid w:val="00D0184F"/>
    <w:rsid w:val="00D04220"/>
    <w:rsid w:val="00D04D99"/>
    <w:rsid w:val="00D061E1"/>
    <w:rsid w:val="00D06232"/>
    <w:rsid w:val="00D20011"/>
    <w:rsid w:val="00D3280D"/>
    <w:rsid w:val="00D3418F"/>
    <w:rsid w:val="00D44A56"/>
    <w:rsid w:val="00D52A7B"/>
    <w:rsid w:val="00D54E63"/>
    <w:rsid w:val="00D56F74"/>
    <w:rsid w:val="00D57672"/>
    <w:rsid w:val="00D63422"/>
    <w:rsid w:val="00D63849"/>
    <w:rsid w:val="00D66630"/>
    <w:rsid w:val="00D67769"/>
    <w:rsid w:val="00D67F43"/>
    <w:rsid w:val="00D67FE1"/>
    <w:rsid w:val="00D703D4"/>
    <w:rsid w:val="00D70F0D"/>
    <w:rsid w:val="00D712EA"/>
    <w:rsid w:val="00D77B3F"/>
    <w:rsid w:val="00D826EE"/>
    <w:rsid w:val="00D83B4A"/>
    <w:rsid w:val="00D90369"/>
    <w:rsid w:val="00D91A12"/>
    <w:rsid w:val="00D928A5"/>
    <w:rsid w:val="00D942D9"/>
    <w:rsid w:val="00D94746"/>
    <w:rsid w:val="00D95F3B"/>
    <w:rsid w:val="00DB049E"/>
    <w:rsid w:val="00DB25F3"/>
    <w:rsid w:val="00DB3210"/>
    <w:rsid w:val="00DC160E"/>
    <w:rsid w:val="00DC291F"/>
    <w:rsid w:val="00DC3F71"/>
    <w:rsid w:val="00DC48F1"/>
    <w:rsid w:val="00DC7F3B"/>
    <w:rsid w:val="00DE6D0F"/>
    <w:rsid w:val="00DE7347"/>
    <w:rsid w:val="00DF25A4"/>
    <w:rsid w:val="00DF5638"/>
    <w:rsid w:val="00E048BB"/>
    <w:rsid w:val="00E04A77"/>
    <w:rsid w:val="00E16378"/>
    <w:rsid w:val="00E17926"/>
    <w:rsid w:val="00E17D2D"/>
    <w:rsid w:val="00E236BE"/>
    <w:rsid w:val="00E2786D"/>
    <w:rsid w:val="00E30598"/>
    <w:rsid w:val="00E318D6"/>
    <w:rsid w:val="00E35B86"/>
    <w:rsid w:val="00E43A98"/>
    <w:rsid w:val="00E43B98"/>
    <w:rsid w:val="00E470DE"/>
    <w:rsid w:val="00E50554"/>
    <w:rsid w:val="00E5183D"/>
    <w:rsid w:val="00E56B00"/>
    <w:rsid w:val="00E6104E"/>
    <w:rsid w:val="00E61A80"/>
    <w:rsid w:val="00E642B9"/>
    <w:rsid w:val="00E70D42"/>
    <w:rsid w:val="00E71D57"/>
    <w:rsid w:val="00E732AF"/>
    <w:rsid w:val="00E74441"/>
    <w:rsid w:val="00E85D2C"/>
    <w:rsid w:val="00E85E9B"/>
    <w:rsid w:val="00E8764D"/>
    <w:rsid w:val="00E91B33"/>
    <w:rsid w:val="00E95BE1"/>
    <w:rsid w:val="00E97D35"/>
    <w:rsid w:val="00EA23BA"/>
    <w:rsid w:val="00EA3C15"/>
    <w:rsid w:val="00EA7D3E"/>
    <w:rsid w:val="00EB367B"/>
    <w:rsid w:val="00EB3C2F"/>
    <w:rsid w:val="00EB6257"/>
    <w:rsid w:val="00ED1F1C"/>
    <w:rsid w:val="00ED3E05"/>
    <w:rsid w:val="00EE4B6B"/>
    <w:rsid w:val="00EE7C63"/>
    <w:rsid w:val="00EF7557"/>
    <w:rsid w:val="00F003A6"/>
    <w:rsid w:val="00F008C8"/>
    <w:rsid w:val="00F03925"/>
    <w:rsid w:val="00F06885"/>
    <w:rsid w:val="00F118BF"/>
    <w:rsid w:val="00F12600"/>
    <w:rsid w:val="00F14330"/>
    <w:rsid w:val="00F15CCE"/>
    <w:rsid w:val="00F24B27"/>
    <w:rsid w:val="00F25076"/>
    <w:rsid w:val="00F25931"/>
    <w:rsid w:val="00F25CD3"/>
    <w:rsid w:val="00F26011"/>
    <w:rsid w:val="00F26417"/>
    <w:rsid w:val="00F26FD2"/>
    <w:rsid w:val="00F3420B"/>
    <w:rsid w:val="00F3508A"/>
    <w:rsid w:val="00F357DD"/>
    <w:rsid w:val="00F36CD7"/>
    <w:rsid w:val="00F37631"/>
    <w:rsid w:val="00F4231F"/>
    <w:rsid w:val="00F467D7"/>
    <w:rsid w:val="00F47F06"/>
    <w:rsid w:val="00F61FCB"/>
    <w:rsid w:val="00F6264B"/>
    <w:rsid w:val="00F66E11"/>
    <w:rsid w:val="00F74BC9"/>
    <w:rsid w:val="00F8180E"/>
    <w:rsid w:val="00F84E39"/>
    <w:rsid w:val="00F87B08"/>
    <w:rsid w:val="00F946D8"/>
    <w:rsid w:val="00F9689D"/>
    <w:rsid w:val="00FA316C"/>
    <w:rsid w:val="00FA46A9"/>
    <w:rsid w:val="00FC23BB"/>
    <w:rsid w:val="00FC7AC7"/>
    <w:rsid w:val="00FD13B6"/>
    <w:rsid w:val="00FD1C12"/>
    <w:rsid w:val="00FD55C6"/>
    <w:rsid w:val="00FD56DB"/>
    <w:rsid w:val="00FE39D8"/>
    <w:rsid w:val="00FE427E"/>
    <w:rsid w:val="00FE4703"/>
    <w:rsid w:val="00FE666B"/>
    <w:rsid w:val="00FE77E1"/>
    <w:rsid w:val="00FE78EB"/>
    <w:rsid w:val="00FF1974"/>
    <w:rsid w:val="00FF5193"/>
    <w:rsid w:val="00FF592A"/>
    <w:rsid w:val="00FF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0337FCA5"/>
  <w15:docId w15:val="{94D0F2B6-74FA-464B-B08C-260606BF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3516"/>
    <w:pPr>
      <w:widowControl w:val="0"/>
      <w:spacing w:line="400" w:lineRule="exact"/>
      <w:jc w:val="both"/>
    </w:pPr>
    <w:rPr>
      <w:rFonts w:eastAsia="Meiryo UI"/>
      <w:sz w:val="22"/>
    </w:rPr>
  </w:style>
  <w:style w:type="paragraph" w:styleId="2">
    <w:name w:val="heading 2"/>
    <w:basedOn w:val="a0"/>
    <w:next w:val="a0"/>
    <w:link w:val="20"/>
    <w:uiPriority w:val="9"/>
    <w:unhideWhenUsed/>
    <w:qFormat/>
    <w:rsid w:val="00563516"/>
    <w:pPr>
      <w:spacing w:line="480" w:lineRule="exact"/>
      <w:ind w:leftChars="-64" w:left="-134"/>
      <w:outlineLvl w:val="1"/>
    </w:pPr>
    <w:rPr>
      <w:sz w:val="28"/>
    </w:rPr>
  </w:style>
  <w:style w:type="paragraph" w:styleId="3">
    <w:name w:val="heading 3"/>
    <w:basedOn w:val="a0"/>
    <w:next w:val="a0"/>
    <w:link w:val="30"/>
    <w:uiPriority w:val="9"/>
    <w:unhideWhenUsed/>
    <w:qFormat/>
    <w:rsid w:val="00563516"/>
    <w:pPr>
      <w:spacing w:line="480" w:lineRule="exact"/>
      <w:ind w:leftChars="64" w:left="134"/>
      <w:jc w:val="left"/>
      <w:outlineLvl w:val="2"/>
    </w:pPr>
    <w:rPr>
      <w:rFonts w:ascii="Meiryo UI" w:hAnsi="Meiryo UI" w:cs="Meiryo UI"/>
      <w:sz w:val="24"/>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E1102"/>
    <w:pPr>
      <w:tabs>
        <w:tab w:val="center" w:pos="4252"/>
        <w:tab w:val="right" w:pos="8504"/>
      </w:tabs>
      <w:snapToGrid w:val="0"/>
    </w:pPr>
  </w:style>
  <w:style w:type="character" w:customStyle="1" w:styleId="a5">
    <w:name w:val="ヘッダー (文字)"/>
    <w:basedOn w:val="a1"/>
    <w:link w:val="a4"/>
    <w:uiPriority w:val="99"/>
    <w:rsid w:val="008E1102"/>
  </w:style>
  <w:style w:type="paragraph" w:styleId="a6">
    <w:name w:val="footer"/>
    <w:basedOn w:val="a0"/>
    <w:link w:val="a7"/>
    <w:uiPriority w:val="99"/>
    <w:unhideWhenUsed/>
    <w:rsid w:val="008E1102"/>
    <w:pPr>
      <w:tabs>
        <w:tab w:val="center" w:pos="4252"/>
        <w:tab w:val="right" w:pos="8504"/>
      </w:tabs>
      <w:snapToGrid w:val="0"/>
    </w:pPr>
  </w:style>
  <w:style w:type="character" w:customStyle="1" w:styleId="a7">
    <w:name w:val="フッター (文字)"/>
    <w:basedOn w:val="a1"/>
    <w:link w:val="a6"/>
    <w:uiPriority w:val="99"/>
    <w:rsid w:val="008E1102"/>
  </w:style>
  <w:style w:type="paragraph" w:styleId="a8">
    <w:name w:val="Date"/>
    <w:basedOn w:val="a0"/>
    <w:next w:val="a0"/>
    <w:link w:val="a9"/>
    <w:uiPriority w:val="99"/>
    <w:semiHidden/>
    <w:unhideWhenUsed/>
    <w:rsid w:val="008E1102"/>
  </w:style>
  <w:style w:type="character" w:customStyle="1" w:styleId="a9">
    <w:name w:val="日付 (文字)"/>
    <w:basedOn w:val="a1"/>
    <w:link w:val="a8"/>
    <w:uiPriority w:val="99"/>
    <w:semiHidden/>
    <w:rsid w:val="008E1102"/>
  </w:style>
  <w:style w:type="paragraph" w:styleId="aa">
    <w:name w:val="Balloon Text"/>
    <w:basedOn w:val="a0"/>
    <w:link w:val="ab"/>
    <w:uiPriority w:val="99"/>
    <w:semiHidden/>
    <w:unhideWhenUsed/>
    <w:rsid w:val="003060DA"/>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3060DA"/>
    <w:rPr>
      <w:rFonts w:asciiTheme="majorHAnsi" w:eastAsiaTheme="majorEastAsia" w:hAnsiTheme="majorHAnsi" w:cstheme="majorBidi"/>
      <w:sz w:val="18"/>
      <w:szCs w:val="18"/>
    </w:rPr>
  </w:style>
  <w:style w:type="paragraph" w:styleId="ac">
    <w:name w:val="Revision"/>
    <w:hidden/>
    <w:uiPriority w:val="99"/>
    <w:semiHidden/>
    <w:rsid w:val="00FF1974"/>
  </w:style>
  <w:style w:type="table" w:styleId="ad">
    <w:name w:val="Table Grid"/>
    <w:basedOn w:val="a2"/>
    <w:uiPriority w:val="59"/>
    <w:rsid w:val="007F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d"/>
    <w:uiPriority w:val="59"/>
    <w:rsid w:val="001920EE"/>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uiPriority w:val="34"/>
    <w:qFormat/>
    <w:rsid w:val="00582C3D"/>
    <w:pPr>
      <w:ind w:leftChars="400" w:left="840"/>
    </w:pPr>
  </w:style>
  <w:style w:type="paragraph" w:customStyle="1" w:styleId="a">
    <w:name w:val="本文箇条書き"/>
    <w:basedOn w:val="ae"/>
    <w:link w:val="af"/>
    <w:qFormat/>
    <w:rsid w:val="00563516"/>
    <w:pPr>
      <w:numPr>
        <w:numId w:val="21"/>
      </w:numPr>
      <w:ind w:leftChars="0" w:left="709"/>
    </w:pPr>
  </w:style>
  <w:style w:type="character" w:customStyle="1" w:styleId="af">
    <w:name w:val="本文箇条書き (文字)"/>
    <w:basedOn w:val="a1"/>
    <w:link w:val="a"/>
    <w:rsid w:val="00563516"/>
    <w:rPr>
      <w:rFonts w:eastAsia="Meiryo UI"/>
      <w:sz w:val="22"/>
    </w:rPr>
  </w:style>
  <w:style w:type="character" w:customStyle="1" w:styleId="20">
    <w:name w:val="見出し 2 (文字)"/>
    <w:basedOn w:val="a1"/>
    <w:link w:val="2"/>
    <w:uiPriority w:val="9"/>
    <w:rsid w:val="00563516"/>
    <w:rPr>
      <w:rFonts w:eastAsia="Meiryo UI"/>
      <w:sz w:val="28"/>
    </w:rPr>
  </w:style>
  <w:style w:type="character" w:customStyle="1" w:styleId="30">
    <w:name w:val="見出し 3 (文字)"/>
    <w:basedOn w:val="a1"/>
    <w:link w:val="3"/>
    <w:uiPriority w:val="9"/>
    <w:rsid w:val="00563516"/>
    <w:rPr>
      <w:rFonts w:ascii="Meiryo UI" w:eastAsia="Meiryo UI" w:hAnsi="Meiryo UI" w:cs="Meiryo UI"/>
      <w:sz w:val="24"/>
      <w:szCs w:val="24"/>
      <w:u w:val="single"/>
    </w:rPr>
  </w:style>
  <w:style w:type="paragraph" w:styleId="Web">
    <w:name w:val="Normal (Web)"/>
    <w:basedOn w:val="a0"/>
    <w:uiPriority w:val="99"/>
    <w:semiHidden/>
    <w:unhideWhenUsed/>
    <w:rsid w:val="00AD0E5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5">
    <w:name w:val="Medium Shading 2 Accent 6"/>
    <w:basedOn w:val="a2"/>
    <w:uiPriority w:val="64"/>
    <w:rsid w:val="00513F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6"/>
    <w:basedOn w:val="a2"/>
    <w:uiPriority w:val="63"/>
    <w:rsid w:val="00513FE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40">
    <w:name w:val="Medium Shading 1 Accent 1"/>
    <w:basedOn w:val="a2"/>
    <w:uiPriority w:val="63"/>
    <w:rsid w:val="00513F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1939">
      <w:bodyDiv w:val="1"/>
      <w:marLeft w:val="0"/>
      <w:marRight w:val="0"/>
      <w:marTop w:val="0"/>
      <w:marBottom w:val="0"/>
      <w:divBdr>
        <w:top w:val="none" w:sz="0" w:space="0" w:color="auto"/>
        <w:left w:val="none" w:sz="0" w:space="0" w:color="auto"/>
        <w:bottom w:val="none" w:sz="0" w:space="0" w:color="auto"/>
        <w:right w:val="none" w:sz="0" w:space="0" w:color="auto"/>
      </w:divBdr>
    </w:div>
    <w:div w:id="73018920">
      <w:bodyDiv w:val="1"/>
      <w:marLeft w:val="0"/>
      <w:marRight w:val="0"/>
      <w:marTop w:val="0"/>
      <w:marBottom w:val="0"/>
      <w:divBdr>
        <w:top w:val="none" w:sz="0" w:space="0" w:color="auto"/>
        <w:left w:val="none" w:sz="0" w:space="0" w:color="auto"/>
        <w:bottom w:val="none" w:sz="0" w:space="0" w:color="auto"/>
        <w:right w:val="none" w:sz="0" w:space="0" w:color="auto"/>
      </w:divBdr>
    </w:div>
    <w:div w:id="305356958">
      <w:bodyDiv w:val="1"/>
      <w:marLeft w:val="0"/>
      <w:marRight w:val="0"/>
      <w:marTop w:val="0"/>
      <w:marBottom w:val="0"/>
      <w:divBdr>
        <w:top w:val="none" w:sz="0" w:space="0" w:color="auto"/>
        <w:left w:val="none" w:sz="0" w:space="0" w:color="auto"/>
        <w:bottom w:val="none" w:sz="0" w:space="0" w:color="auto"/>
        <w:right w:val="none" w:sz="0" w:space="0" w:color="auto"/>
      </w:divBdr>
    </w:div>
    <w:div w:id="518395492">
      <w:bodyDiv w:val="1"/>
      <w:marLeft w:val="0"/>
      <w:marRight w:val="0"/>
      <w:marTop w:val="0"/>
      <w:marBottom w:val="0"/>
      <w:divBdr>
        <w:top w:val="none" w:sz="0" w:space="0" w:color="auto"/>
        <w:left w:val="none" w:sz="0" w:space="0" w:color="auto"/>
        <w:bottom w:val="none" w:sz="0" w:space="0" w:color="auto"/>
        <w:right w:val="none" w:sz="0" w:space="0" w:color="auto"/>
      </w:divBdr>
    </w:div>
    <w:div w:id="708918290">
      <w:bodyDiv w:val="1"/>
      <w:marLeft w:val="0"/>
      <w:marRight w:val="0"/>
      <w:marTop w:val="0"/>
      <w:marBottom w:val="0"/>
      <w:divBdr>
        <w:top w:val="none" w:sz="0" w:space="0" w:color="auto"/>
        <w:left w:val="none" w:sz="0" w:space="0" w:color="auto"/>
        <w:bottom w:val="none" w:sz="0" w:space="0" w:color="auto"/>
        <w:right w:val="none" w:sz="0" w:space="0" w:color="auto"/>
      </w:divBdr>
    </w:div>
    <w:div w:id="892623111">
      <w:bodyDiv w:val="1"/>
      <w:marLeft w:val="0"/>
      <w:marRight w:val="0"/>
      <w:marTop w:val="0"/>
      <w:marBottom w:val="0"/>
      <w:divBdr>
        <w:top w:val="none" w:sz="0" w:space="0" w:color="auto"/>
        <w:left w:val="none" w:sz="0" w:space="0" w:color="auto"/>
        <w:bottom w:val="none" w:sz="0" w:space="0" w:color="auto"/>
        <w:right w:val="none" w:sz="0" w:space="0" w:color="auto"/>
      </w:divBdr>
    </w:div>
    <w:div w:id="963586405">
      <w:bodyDiv w:val="1"/>
      <w:marLeft w:val="0"/>
      <w:marRight w:val="0"/>
      <w:marTop w:val="0"/>
      <w:marBottom w:val="0"/>
      <w:divBdr>
        <w:top w:val="none" w:sz="0" w:space="0" w:color="auto"/>
        <w:left w:val="none" w:sz="0" w:space="0" w:color="auto"/>
        <w:bottom w:val="none" w:sz="0" w:space="0" w:color="auto"/>
        <w:right w:val="none" w:sz="0" w:space="0" w:color="auto"/>
      </w:divBdr>
    </w:div>
    <w:div w:id="1006787985">
      <w:bodyDiv w:val="1"/>
      <w:marLeft w:val="0"/>
      <w:marRight w:val="0"/>
      <w:marTop w:val="0"/>
      <w:marBottom w:val="0"/>
      <w:divBdr>
        <w:top w:val="none" w:sz="0" w:space="0" w:color="auto"/>
        <w:left w:val="none" w:sz="0" w:space="0" w:color="auto"/>
        <w:bottom w:val="none" w:sz="0" w:space="0" w:color="auto"/>
        <w:right w:val="none" w:sz="0" w:space="0" w:color="auto"/>
      </w:divBdr>
    </w:div>
    <w:div w:id="1029061734">
      <w:bodyDiv w:val="1"/>
      <w:marLeft w:val="0"/>
      <w:marRight w:val="0"/>
      <w:marTop w:val="0"/>
      <w:marBottom w:val="0"/>
      <w:divBdr>
        <w:top w:val="none" w:sz="0" w:space="0" w:color="auto"/>
        <w:left w:val="none" w:sz="0" w:space="0" w:color="auto"/>
        <w:bottom w:val="none" w:sz="0" w:space="0" w:color="auto"/>
        <w:right w:val="none" w:sz="0" w:space="0" w:color="auto"/>
      </w:divBdr>
    </w:div>
    <w:div w:id="1480269141">
      <w:bodyDiv w:val="1"/>
      <w:marLeft w:val="0"/>
      <w:marRight w:val="0"/>
      <w:marTop w:val="0"/>
      <w:marBottom w:val="0"/>
      <w:divBdr>
        <w:top w:val="none" w:sz="0" w:space="0" w:color="auto"/>
        <w:left w:val="none" w:sz="0" w:space="0" w:color="auto"/>
        <w:bottom w:val="none" w:sz="0" w:space="0" w:color="auto"/>
        <w:right w:val="none" w:sz="0" w:space="0" w:color="auto"/>
      </w:divBdr>
    </w:div>
    <w:div w:id="1648975001">
      <w:bodyDiv w:val="1"/>
      <w:marLeft w:val="0"/>
      <w:marRight w:val="0"/>
      <w:marTop w:val="0"/>
      <w:marBottom w:val="0"/>
      <w:divBdr>
        <w:top w:val="none" w:sz="0" w:space="0" w:color="auto"/>
        <w:left w:val="none" w:sz="0" w:space="0" w:color="auto"/>
        <w:bottom w:val="none" w:sz="0" w:space="0" w:color="auto"/>
        <w:right w:val="none" w:sz="0" w:space="0" w:color="auto"/>
      </w:divBdr>
    </w:div>
    <w:div w:id="1686201440">
      <w:bodyDiv w:val="1"/>
      <w:marLeft w:val="0"/>
      <w:marRight w:val="0"/>
      <w:marTop w:val="0"/>
      <w:marBottom w:val="0"/>
      <w:divBdr>
        <w:top w:val="none" w:sz="0" w:space="0" w:color="auto"/>
        <w:left w:val="none" w:sz="0" w:space="0" w:color="auto"/>
        <w:bottom w:val="none" w:sz="0" w:space="0" w:color="auto"/>
        <w:right w:val="none" w:sz="0" w:space="0" w:color="auto"/>
      </w:divBdr>
    </w:div>
    <w:div w:id="1780221585">
      <w:bodyDiv w:val="1"/>
      <w:marLeft w:val="0"/>
      <w:marRight w:val="0"/>
      <w:marTop w:val="0"/>
      <w:marBottom w:val="0"/>
      <w:divBdr>
        <w:top w:val="none" w:sz="0" w:space="0" w:color="auto"/>
        <w:left w:val="none" w:sz="0" w:space="0" w:color="auto"/>
        <w:bottom w:val="none" w:sz="0" w:space="0" w:color="auto"/>
        <w:right w:val="none" w:sz="0" w:space="0" w:color="auto"/>
      </w:divBdr>
    </w:div>
    <w:div w:id="1898934467">
      <w:bodyDiv w:val="1"/>
      <w:marLeft w:val="0"/>
      <w:marRight w:val="0"/>
      <w:marTop w:val="0"/>
      <w:marBottom w:val="0"/>
      <w:divBdr>
        <w:top w:val="none" w:sz="0" w:space="0" w:color="auto"/>
        <w:left w:val="none" w:sz="0" w:space="0" w:color="auto"/>
        <w:bottom w:val="none" w:sz="0" w:space="0" w:color="auto"/>
        <w:right w:val="none" w:sz="0" w:space="0" w:color="auto"/>
      </w:divBdr>
    </w:div>
    <w:div w:id="1941059783">
      <w:bodyDiv w:val="1"/>
      <w:marLeft w:val="0"/>
      <w:marRight w:val="0"/>
      <w:marTop w:val="0"/>
      <w:marBottom w:val="0"/>
      <w:divBdr>
        <w:top w:val="none" w:sz="0" w:space="0" w:color="auto"/>
        <w:left w:val="none" w:sz="0" w:space="0" w:color="auto"/>
        <w:bottom w:val="none" w:sz="0" w:space="0" w:color="auto"/>
        <w:right w:val="none" w:sz="0" w:space="0" w:color="auto"/>
      </w:divBdr>
    </w:div>
    <w:div w:id="20104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latin typeface="Meiryo UI" panose="020B0604030504040204" pitchFamily="50" charset="-128"/>
                <a:ea typeface="Meiryo UI" panose="020B0604030504040204" pitchFamily="50" charset="-128"/>
              </a:rPr>
              <a:t>減価償却費の推移</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経営展望期間中!$F$16</c:f>
              <c:strCache>
                <c:ptCount val="1"/>
                <c:pt idx="0">
                  <c:v>減価償却費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経営展望期間中!$H$1:$K$2</c:f>
              <c:strCache>
                <c:ptCount val="4"/>
                <c:pt idx="0">
                  <c:v>2017
年度</c:v>
                </c:pt>
                <c:pt idx="1">
                  <c:v>2018
年度</c:v>
                </c:pt>
                <c:pt idx="2">
                  <c:v>2019
年度</c:v>
                </c:pt>
                <c:pt idx="3">
                  <c:v>2020
年度</c:v>
                </c:pt>
              </c:strCache>
            </c:strRef>
          </c:cat>
          <c:val>
            <c:numRef>
              <c:f>経営展望期間中!$H$16:$K$16</c:f>
              <c:numCache>
                <c:formatCode>#,##0;"▲ "#,##0</c:formatCode>
                <c:ptCount val="4"/>
                <c:pt idx="0" formatCode="#,##0">
                  <c:v>476.44</c:v>
                </c:pt>
                <c:pt idx="1">
                  <c:v>323.05599999999998</c:v>
                </c:pt>
                <c:pt idx="2">
                  <c:v>290.358</c:v>
                </c:pt>
                <c:pt idx="3" formatCode="#,##0_ ">
                  <c:v>193.416</c:v>
                </c:pt>
              </c:numCache>
            </c:numRef>
          </c:val>
          <c:extLst>
            <c:ext xmlns:c16="http://schemas.microsoft.com/office/drawing/2014/chart" uri="{C3380CC4-5D6E-409C-BE32-E72D297353CC}">
              <c16:uniqueId val="{00000000-5846-481D-93C0-24CDCAC0220B}"/>
            </c:ext>
          </c:extLst>
        </c:ser>
        <c:dLbls>
          <c:dLblPos val="outEnd"/>
          <c:showLegendKey val="0"/>
          <c:showVal val="1"/>
          <c:showCatName val="0"/>
          <c:showSerName val="0"/>
          <c:showPercent val="0"/>
          <c:showBubbleSize val="0"/>
        </c:dLbls>
        <c:gapWidth val="219"/>
        <c:overlap val="-27"/>
        <c:axId val="1472289360"/>
        <c:axId val="1472289776"/>
      </c:barChart>
      <c:catAx>
        <c:axId val="14722893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472289776"/>
        <c:crosses val="autoZero"/>
        <c:auto val="1"/>
        <c:lblAlgn val="ctr"/>
        <c:lblOffset val="100"/>
        <c:noMultiLvlLbl val="0"/>
      </c:catAx>
      <c:valAx>
        <c:axId val="1472289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472289360"/>
        <c:crosses val="autoZero"/>
        <c:crossBetween val="between"/>
        <c:majorUnit val="200"/>
      </c:valAx>
      <c:spPr>
        <a:noFill/>
        <a:ln>
          <a:noFill/>
        </a:ln>
        <a:effectLst/>
      </c:spPr>
    </c:plotArea>
    <c:plotVisOnly val="1"/>
    <c:dispBlanksAs val="gap"/>
    <c:showDLblsOverMax val="0"/>
  </c:chart>
  <c:spPr>
    <a:solidFill>
      <a:schemeClr val="bg1"/>
    </a:solidFill>
    <a:ln w="9525" cap="flat" cmpd="sng" algn="ctr">
      <a:solidFill>
        <a:srgbClr val="1F497D">
          <a:lumMod val="50000"/>
        </a:srgb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latin typeface="Meiryo UI" panose="020B0604030504040204" pitchFamily="50" charset="-128"/>
                <a:ea typeface="Meiryo UI" panose="020B0604030504040204" pitchFamily="50" charset="-128"/>
              </a:rPr>
              <a:t>当期純利益の推移</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経営展望期間中!$D$21</c:f>
              <c:strCache>
                <c:ptCount val="1"/>
                <c:pt idx="0">
                  <c:v>当期純利益</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経営展望期間中!$H$1:$K$2</c:f>
              <c:strCache>
                <c:ptCount val="4"/>
                <c:pt idx="0">
                  <c:v>2017
年度</c:v>
                </c:pt>
                <c:pt idx="1">
                  <c:v>2018
年度</c:v>
                </c:pt>
                <c:pt idx="2">
                  <c:v>2019
年度</c:v>
                </c:pt>
                <c:pt idx="3">
                  <c:v>2020
年度</c:v>
                </c:pt>
              </c:strCache>
            </c:strRef>
          </c:cat>
          <c:val>
            <c:numRef>
              <c:f>経営展望期間中!$H$21:$K$21</c:f>
              <c:numCache>
                <c:formatCode>#,##0;"▲ "#,##0</c:formatCode>
                <c:ptCount val="4"/>
                <c:pt idx="0">
                  <c:v>-97.545000000000002</c:v>
                </c:pt>
                <c:pt idx="1">
                  <c:v>-2.0760000000000001</c:v>
                </c:pt>
                <c:pt idx="2">
                  <c:v>124.605</c:v>
                </c:pt>
                <c:pt idx="3" formatCode="#,##0_ ">
                  <c:v>156.749</c:v>
                </c:pt>
              </c:numCache>
            </c:numRef>
          </c:val>
          <c:extLst>
            <c:ext xmlns:c16="http://schemas.microsoft.com/office/drawing/2014/chart" uri="{C3380CC4-5D6E-409C-BE32-E72D297353CC}">
              <c16:uniqueId val="{00000000-3E04-453F-9839-03FC7B98AE16}"/>
            </c:ext>
          </c:extLst>
        </c:ser>
        <c:dLbls>
          <c:dLblPos val="outEnd"/>
          <c:showLegendKey val="0"/>
          <c:showVal val="1"/>
          <c:showCatName val="0"/>
          <c:showSerName val="0"/>
          <c:showPercent val="0"/>
          <c:showBubbleSize val="0"/>
        </c:dLbls>
        <c:gapWidth val="219"/>
        <c:overlap val="-27"/>
        <c:axId val="1472289360"/>
        <c:axId val="1472289776"/>
      </c:barChart>
      <c:catAx>
        <c:axId val="14722893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472289776"/>
        <c:crosses val="autoZero"/>
        <c:auto val="1"/>
        <c:lblAlgn val="ctr"/>
        <c:lblOffset val="100"/>
        <c:noMultiLvlLbl val="0"/>
      </c:catAx>
      <c:valAx>
        <c:axId val="1472289776"/>
        <c:scaling>
          <c:orientation val="minMax"/>
        </c:scaling>
        <c:delete val="0"/>
        <c:axPos val="l"/>
        <c:majorGridlines>
          <c:spPr>
            <a:ln w="9525" cap="flat" cmpd="sng" algn="ctr">
              <a:solidFill>
                <a:schemeClr val="tx1">
                  <a:lumMod val="15000"/>
                  <a:lumOff val="85000"/>
                </a:schemeClr>
              </a:solidFill>
              <a:round/>
            </a:ln>
            <a:effectLst/>
          </c:spPr>
        </c:majorGridlines>
        <c:numFmt formatCode="#,##0;&quot;▲ &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472289360"/>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ysClr val="windowText" lastClr="000000">
          <a:lumMod val="95000"/>
          <a:lumOff val="5000"/>
        </a:sys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AED2964B46E9498248FBB20A5D46C7" ma:contentTypeVersion="1" ma:contentTypeDescription="新しいドキュメントを作成します。" ma:contentTypeScope="" ma:versionID="9d8570694613f98463b42ee4205aac4a">
  <xsd:schema xmlns:xsd="http://www.w3.org/2001/XMLSchema" xmlns:p="http://schemas.microsoft.com/office/2006/metadata/properties" xmlns:ns2="63c3a937-21e8-466d-8284-0598b920497b" targetNamespace="http://schemas.microsoft.com/office/2006/metadata/properties" ma:root="true" ma:fieldsID="9dc788100ad548edf0ccd35655c6223a" ns2:_="">
    <xsd:import namespace="63c3a937-21e8-466d-8284-0598b920497b"/>
    <xsd:element name="properties">
      <xsd:complexType>
        <xsd:sequence>
          <xsd:element name="documentManagement">
            <xsd:complexType>
              <xsd:all>
                <xsd:element ref="ns2:_x66f4__x65b0__x65e5_" minOccurs="0"/>
              </xsd:all>
            </xsd:complexType>
          </xsd:element>
        </xsd:sequence>
      </xsd:complexType>
    </xsd:element>
  </xsd:schema>
  <xsd:schema xmlns:xsd="http://www.w3.org/2001/XMLSchema" xmlns:dms="http://schemas.microsoft.com/office/2006/documentManagement/types" targetNamespace="63c3a937-21e8-466d-8284-0598b920497b" elementFormDefault="qualified">
    <xsd:import namespace="http://schemas.microsoft.com/office/2006/documentManagement/types"/>
    <xsd:element name="_x66f4__x65b0__x65e5_" ma:index="8" nillable="true" ma:displayName="更新日" ma:description="更新日" ma:format="DateTime" ma:internalName="_x66f4__x65b0__x65e5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66f4__x65b0__x65e5_ xmlns="63c3a937-21e8-466d-8284-0598b920497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EE4C-DB4F-45F8-A7F4-D02F055E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a937-21e8-466d-8284-0598b920497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7478A10-6EE5-4A39-B89B-6846841CA454}">
  <ds:schemaRefs>
    <ds:schemaRef ds:uri="http://schemas.microsoft.com/sharepoint/v3/contenttype/forms"/>
  </ds:schemaRefs>
</ds:datastoreItem>
</file>

<file path=customXml/itemProps3.xml><?xml version="1.0" encoding="utf-8"?>
<ds:datastoreItem xmlns:ds="http://schemas.openxmlformats.org/officeDocument/2006/customXml" ds:itemID="{AC05581E-C587-45E9-BCF9-CC8201B0570D}">
  <ds:schemaRefs>
    <ds:schemaRef ds:uri="http://schemas.microsoft.com/office/2006/documentManagement/types"/>
    <ds:schemaRef ds:uri="http://www.w3.org/XML/1998/namespace"/>
    <ds:schemaRef ds:uri="http://purl.org/dc/elements/1.1/"/>
    <ds:schemaRef ds:uri="http://schemas.microsoft.com/office/2006/metadata/properties"/>
    <ds:schemaRef ds:uri="63c3a937-21e8-466d-8284-0598b920497b"/>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F4D84632-BDEF-4332-A62A-C57AB527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清水　信介</cp:lastModifiedBy>
  <cp:revision>9</cp:revision>
  <cp:lastPrinted>2021-12-04T08:35:00Z</cp:lastPrinted>
  <dcterms:created xsi:type="dcterms:W3CDTF">2021-12-03T06:19:00Z</dcterms:created>
  <dcterms:modified xsi:type="dcterms:W3CDTF">2022-03-17T08:08:00Z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0x010100B9AED2964B46E9498248FBB20A5D46C7</vt:lpwstr>
  </property>
</Properties>
</file>