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46EF" w14:textId="77777777" w:rsidR="00275809" w:rsidRPr="003D6F93" w:rsidRDefault="00AF2248" w:rsidP="00275809">
      <w:pPr>
        <w:jc w:val="center"/>
        <w:rPr>
          <w:color w:val="000000" w:themeColor="text1"/>
          <w:sz w:val="24"/>
          <w:szCs w:val="24"/>
        </w:rPr>
      </w:pPr>
      <w:r w:rsidRPr="003D6F93">
        <w:rPr>
          <w:rFonts w:hint="eastAsia"/>
          <w:color w:val="000000" w:themeColor="text1"/>
          <w:sz w:val="24"/>
          <w:szCs w:val="24"/>
        </w:rPr>
        <w:t>収益事業を行うための寄附行為の変更認可に</w:t>
      </w:r>
    </w:p>
    <w:p w14:paraId="47AB397B" w14:textId="3F298CD6" w:rsidR="00AF2248" w:rsidRPr="003D6F93" w:rsidRDefault="00AF2248" w:rsidP="00050242">
      <w:pPr>
        <w:ind w:firstLineChars="750" w:firstLine="1800"/>
        <w:rPr>
          <w:color w:val="000000" w:themeColor="text1"/>
          <w:sz w:val="24"/>
          <w:szCs w:val="24"/>
        </w:rPr>
      </w:pPr>
      <w:r w:rsidRPr="003D6F93">
        <w:rPr>
          <w:rFonts w:hint="eastAsia"/>
          <w:color w:val="000000" w:themeColor="text1"/>
          <w:sz w:val="24"/>
          <w:szCs w:val="24"/>
        </w:rPr>
        <w:t>あたっての取り扱い方針</w:t>
      </w:r>
    </w:p>
    <w:p w14:paraId="0EC90ADD" w14:textId="77777777" w:rsidR="00AF2248" w:rsidRPr="003D6F93" w:rsidRDefault="00AF2248">
      <w:pPr>
        <w:rPr>
          <w:color w:val="000000" w:themeColor="text1"/>
        </w:rPr>
      </w:pPr>
    </w:p>
    <w:p w14:paraId="46BF299F" w14:textId="0893ED75" w:rsidR="00AF2248" w:rsidRPr="003D6F93" w:rsidRDefault="00050242" w:rsidP="00AB691D">
      <w:pPr>
        <w:jc w:val="right"/>
        <w:rPr>
          <w:color w:val="000000" w:themeColor="text1"/>
        </w:rPr>
      </w:pPr>
      <w:r w:rsidRPr="003D6F93">
        <w:rPr>
          <w:rFonts w:hint="eastAsia"/>
          <w:color w:val="000000" w:themeColor="text1"/>
        </w:rPr>
        <w:t>平成２８</w:t>
      </w:r>
      <w:r w:rsidR="00AF2248" w:rsidRPr="003D6F93">
        <w:rPr>
          <w:rFonts w:hint="eastAsia"/>
          <w:color w:val="000000" w:themeColor="text1"/>
        </w:rPr>
        <w:t>年</w:t>
      </w:r>
      <w:r w:rsidR="00275809" w:rsidRPr="003D6F93">
        <w:rPr>
          <w:rFonts w:hint="eastAsia"/>
          <w:color w:val="000000" w:themeColor="text1"/>
        </w:rPr>
        <w:t>６</w:t>
      </w:r>
      <w:r w:rsidR="00AF2248" w:rsidRPr="003D6F93">
        <w:rPr>
          <w:rFonts w:hint="eastAsia"/>
          <w:color w:val="000000" w:themeColor="text1"/>
        </w:rPr>
        <w:t>月</w:t>
      </w:r>
      <w:r w:rsidR="001C37DB" w:rsidRPr="003D6F93">
        <w:rPr>
          <w:rFonts w:hint="eastAsia"/>
          <w:color w:val="000000" w:themeColor="text1"/>
        </w:rPr>
        <w:t>２１</w:t>
      </w:r>
      <w:r w:rsidR="00275809" w:rsidRPr="003D6F93">
        <w:rPr>
          <w:rFonts w:hint="eastAsia"/>
          <w:color w:val="000000" w:themeColor="text1"/>
        </w:rPr>
        <w:t>日</w:t>
      </w:r>
    </w:p>
    <w:p w14:paraId="2E094552" w14:textId="5BAA82B1" w:rsidR="00B10FD4" w:rsidRPr="003D6F93" w:rsidRDefault="00B10FD4" w:rsidP="00AB691D">
      <w:pPr>
        <w:jc w:val="right"/>
        <w:rPr>
          <w:color w:val="000000" w:themeColor="text1"/>
        </w:rPr>
      </w:pPr>
      <w:r w:rsidRPr="003D6F93">
        <w:rPr>
          <w:rFonts w:hint="eastAsia"/>
          <w:color w:val="000000" w:themeColor="text1"/>
        </w:rPr>
        <w:t>令和７年４月１日改正</w:t>
      </w:r>
    </w:p>
    <w:p w14:paraId="2EACA350" w14:textId="77777777" w:rsidR="00AF2248" w:rsidRPr="003D6F93" w:rsidRDefault="00AF2248">
      <w:pPr>
        <w:rPr>
          <w:color w:val="000000" w:themeColor="text1"/>
        </w:rPr>
      </w:pPr>
    </w:p>
    <w:p w14:paraId="3001F2C7" w14:textId="363B8B7A" w:rsidR="00AF2248" w:rsidRPr="003D6F93" w:rsidRDefault="00AF2248">
      <w:pPr>
        <w:rPr>
          <w:color w:val="000000" w:themeColor="text1"/>
        </w:rPr>
      </w:pPr>
      <w:r w:rsidRPr="003D6F93">
        <w:rPr>
          <w:rFonts w:hint="eastAsia"/>
          <w:color w:val="000000" w:themeColor="text1"/>
        </w:rPr>
        <w:t xml:space="preserve">　私立学校法第</w:t>
      </w:r>
      <w:r w:rsidR="00996DAF" w:rsidRPr="003D6F93">
        <w:rPr>
          <w:rFonts w:hint="eastAsia"/>
          <w:color w:val="000000" w:themeColor="text1"/>
        </w:rPr>
        <w:t>１９</w:t>
      </w:r>
      <w:r w:rsidRPr="003D6F93">
        <w:rPr>
          <w:rFonts w:hint="eastAsia"/>
          <w:color w:val="000000" w:themeColor="text1"/>
        </w:rPr>
        <w:t>条に基づく収益事業を行うため寄附行為の変更の認可を行</w:t>
      </w:r>
      <w:r w:rsidR="006208CE" w:rsidRPr="003D6F93">
        <w:rPr>
          <w:rFonts w:hint="eastAsia"/>
          <w:color w:val="000000" w:themeColor="text1"/>
        </w:rPr>
        <w:t>う</w:t>
      </w:r>
      <w:r w:rsidRPr="003D6F93">
        <w:rPr>
          <w:rFonts w:hint="eastAsia"/>
          <w:color w:val="000000" w:themeColor="text1"/>
        </w:rPr>
        <w:t>場合は、私立学校法及び「私立学校法第</w:t>
      </w:r>
      <w:r w:rsidR="00996DAF" w:rsidRPr="003D6F93">
        <w:rPr>
          <w:rFonts w:hint="eastAsia"/>
          <w:color w:val="000000" w:themeColor="text1"/>
        </w:rPr>
        <w:t>１９</w:t>
      </w:r>
      <w:r w:rsidRPr="003D6F93">
        <w:rPr>
          <w:rFonts w:hint="eastAsia"/>
          <w:color w:val="000000" w:themeColor="text1"/>
        </w:rPr>
        <w:t>条第２項の規定に基</w:t>
      </w:r>
      <w:r w:rsidR="00050242" w:rsidRPr="003D6F93">
        <w:rPr>
          <w:rFonts w:hint="eastAsia"/>
          <w:color w:val="000000" w:themeColor="text1"/>
        </w:rPr>
        <w:t>づく学校法人</w:t>
      </w:r>
      <w:r w:rsidR="00FC17D5" w:rsidRPr="003D6F93">
        <w:rPr>
          <w:rFonts w:hint="eastAsia"/>
          <w:color w:val="000000" w:themeColor="text1"/>
        </w:rPr>
        <w:t>等</w:t>
      </w:r>
      <w:r w:rsidR="00050242" w:rsidRPr="003D6F93">
        <w:rPr>
          <w:rFonts w:hint="eastAsia"/>
          <w:color w:val="000000" w:themeColor="text1"/>
        </w:rPr>
        <w:t>の</w:t>
      </w:r>
      <w:r w:rsidRPr="003D6F93">
        <w:rPr>
          <w:rFonts w:hint="eastAsia"/>
          <w:color w:val="000000" w:themeColor="text1"/>
        </w:rPr>
        <w:t>行う</w:t>
      </w:r>
      <w:r w:rsidR="00050242" w:rsidRPr="003D6F93">
        <w:rPr>
          <w:rFonts w:hint="eastAsia"/>
          <w:color w:val="000000" w:themeColor="text1"/>
        </w:rPr>
        <w:t>こ</w:t>
      </w:r>
      <w:r w:rsidRPr="003D6F93">
        <w:rPr>
          <w:rFonts w:hint="eastAsia"/>
          <w:color w:val="000000" w:themeColor="text1"/>
        </w:rPr>
        <w:t>とのできる収益事業の種類」</w:t>
      </w:r>
      <w:r w:rsidR="003D6F93" w:rsidRPr="003D6F93">
        <w:rPr>
          <w:rFonts w:hint="eastAsia"/>
          <w:color w:val="000000" w:themeColor="text1"/>
        </w:rPr>
        <w:t>（</w:t>
      </w:r>
      <w:r w:rsidR="00275809" w:rsidRPr="003D6F93">
        <w:rPr>
          <w:rFonts w:hint="eastAsia"/>
          <w:color w:val="000000" w:themeColor="text1"/>
        </w:rPr>
        <w:t>平成２８</w:t>
      </w:r>
      <w:r w:rsidRPr="003D6F93">
        <w:rPr>
          <w:rFonts w:hint="eastAsia"/>
          <w:color w:val="000000" w:themeColor="text1"/>
        </w:rPr>
        <w:t>年大阪府</w:t>
      </w:r>
      <w:r w:rsidR="00275809" w:rsidRPr="003D6F93">
        <w:rPr>
          <w:rFonts w:hint="eastAsia"/>
          <w:color w:val="000000" w:themeColor="text1"/>
        </w:rPr>
        <w:t>教育長</w:t>
      </w:r>
      <w:r w:rsidRPr="003D6F93">
        <w:rPr>
          <w:rFonts w:hint="eastAsia"/>
          <w:color w:val="000000" w:themeColor="text1"/>
        </w:rPr>
        <w:t>告示第</w:t>
      </w:r>
      <w:r w:rsidR="00275809" w:rsidRPr="003D6F93">
        <w:rPr>
          <w:rFonts w:hint="eastAsia"/>
          <w:color w:val="000000" w:themeColor="text1"/>
        </w:rPr>
        <w:t>１</w:t>
      </w:r>
      <w:r w:rsidRPr="003D6F93">
        <w:rPr>
          <w:rFonts w:hint="eastAsia"/>
          <w:color w:val="000000" w:themeColor="text1"/>
        </w:rPr>
        <w:t>号</w:t>
      </w:r>
      <w:r w:rsidR="002920A6">
        <w:rPr>
          <w:rFonts w:hint="eastAsia"/>
          <w:color w:val="000000" w:themeColor="text1"/>
        </w:rPr>
        <w:t>（</w:t>
      </w:r>
      <w:r w:rsidRPr="003D6F93">
        <w:rPr>
          <w:rFonts w:hint="eastAsia"/>
          <w:color w:val="000000" w:themeColor="text1"/>
        </w:rPr>
        <w:t>以下「本府告示」</w:t>
      </w:r>
      <w:r w:rsidR="00050242" w:rsidRPr="003D6F93">
        <w:rPr>
          <w:rFonts w:hint="eastAsia"/>
          <w:color w:val="000000" w:themeColor="text1"/>
        </w:rPr>
        <w:t>という。</w:t>
      </w:r>
      <w:r w:rsidR="002920A6">
        <w:rPr>
          <w:rFonts w:hint="eastAsia"/>
          <w:color w:val="000000" w:themeColor="text1"/>
        </w:rPr>
        <w:t>）</w:t>
      </w:r>
      <w:r w:rsidR="003D6F93" w:rsidRPr="003D6F93">
        <w:rPr>
          <w:rFonts w:hint="eastAsia"/>
          <w:color w:val="000000" w:themeColor="text1"/>
        </w:rPr>
        <w:t>）</w:t>
      </w:r>
      <w:r w:rsidRPr="003D6F93">
        <w:rPr>
          <w:rFonts w:hint="eastAsia"/>
          <w:color w:val="000000" w:themeColor="text1"/>
        </w:rPr>
        <w:t>に従い、この方針により判断する。</w:t>
      </w:r>
    </w:p>
    <w:p w14:paraId="55CB9768" w14:textId="77777777" w:rsidR="00AF2248" w:rsidRPr="003D6F93" w:rsidRDefault="00AF2248">
      <w:pPr>
        <w:rPr>
          <w:color w:val="000000" w:themeColor="text1"/>
        </w:rPr>
      </w:pPr>
    </w:p>
    <w:p w14:paraId="7E7C45D2" w14:textId="77777777" w:rsidR="00AF2248" w:rsidRPr="003D6F93" w:rsidRDefault="0037713E" w:rsidP="006208CE">
      <w:pPr>
        <w:ind w:left="297" w:hangingChars="135" w:hanging="297"/>
        <w:rPr>
          <w:color w:val="000000" w:themeColor="text1"/>
        </w:rPr>
      </w:pPr>
      <w:r w:rsidRPr="003D6F93">
        <w:rPr>
          <w:rFonts w:hint="eastAsia"/>
          <w:color w:val="000000" w:themeColor="text1"/>
        </w:rPr>
        <w:t>１．</w:t>
      </w:r>
      <w:r w:rsidR="00275809" w:rsidRPr="003D6F93">
        <w:rPr>
          <w:rFonts w:hint="eastAsia"/>
          <w:color w:val="000000" w:themeColor="text1"/>
        </w:rPr>
        <w:t>本府告示の第１の２</w:t>
      </w:r>
      <w:r w:rsidR="00AF2248" w:rsidRPr="003D6F93">
        <w:rPr>
          <w:rFonts w:hint="eastAsia"/>
          <w:color w:val="000000" w:themeColor="text1"/>
        </w:rPr>
        <w:t>に定める風俗営業等の規制及び業務の適正化等に関する法律に規定する営業及びこれらに類似する方法に</w:t>
      </w:r>
      <w:r w:rsidR="00145179" w:rsidRPr="003D6F93">
        <w:rPr>
          <w:rFonts w:hint="eastAsia"/>
          <w:color w:val="000000" w:themeColor="text1"/>
        </w:rPr>
        <w:t>よって経営されるものには、これらの事業に不動産を貸し付けるなどの便宜を供与する事業も含む。</w:t>
      </w:r>
    </w:p>
    <w:p w14:paraId="008F8FB7" w14:textId="77777777" w:rsidR="0037713E" w:rsidRPr="003D6F93" w:rsidRDefault="0037713E" w:rsidP="0037713E">
      <w:pPr>
        <w:rPr>
          <w:color w:val="000000" w:themeColor="text1"/>
        </w:rPr>
      </w:pPr>
    </w:p>
    <w:p w14:paraId="1E890DDD" w14:textId="77777777" w:rsidR="00145179" w:rsidRPr="003D6F93" w:rsidRDefault="0037713E" w:rsidP="006208CE">
      <w:pPr>
        <w:ind w:left="297" w:hangingChars="135" w:hanging="297"/>
        <w:rPr>
          <w:color w:val="000000" w:themeColor="text1"/>
        </w:rPr>
      </w:pPr>
      <w:r w:rsidRPr="003D6F93">
        <w:rPr>
          <w:rFonts w:hint="eastAsia"/>
          <w:color w:val="000000" w:themeColor="text1"/>
        </w:rPr>
        <w:t>２．</w:t>
      </w:r>
      <w:r w:rsidR="00145179" w:rsidRPr="003D6F93">
        <w:rPr>
          <w:rFonts w:hint="eastAsia"/>
          <w:color w:val="000000" w:themeColor="text1"/>
        </w:rPr>
        <w:t>次のような場合は、本府告示の第</w:t>
      </w:r>
      <w:r w:rsidR="00275809" w:rsidRPr="003D6F93">
        <w:rPr>
          <w:rFonts w:hint="eastAsia"/>
          <w:color w:val="000000" w:themeColor="text1"/>
        </w:rPr>
        <w:t>１の３</w:t>
      </w:r>
      <w:r w:rsidR="00145179" w:rsidRPr="003D6F93">
        <w:rPr>
          <w:rFonts w:hint="eastAsia"/>
          <w:color w:val="000000" w:themeColor="text1"/>
        </w:rPr>
        <w:t>に定める規模が当該学校法人の設置する学校の状態に</w:t>
      </w:r>
      <w:r w:rsidRPr="003D6F93">
        <w:rPr>
          <w:rFonts w:hint="eastAsia"/>
          <w:color w:val="000000" w:themeColor="text1"/>
        </w:rPr>
        <w:t>照らして不適当なものであること。</w:t>
      </w:r>
    </w:p>
    <w:p w14:paraId="0AE59B7A" w14:textId="77777777" w:rsidR="00145179" w:rsidRPr="003D6F93" w:rsidRDefault="00145179" w:rsidP="0037713E">
      <w:pPr>
        <w:ind w:left="420"/>
        <w:rPr>
          <w:color w:val="000000" w:themeColor="text1"/>
        </w:rPr>
      </w:pPr>
    </w:p>
    <w:p w14:paraId="258A3B2D" w14:textId="77777777" w:rsidR="00145179" w:rsidRPr="003D6F93" w:rsidRDefault="0037713E" w:rsidP="0037713E">
      <w:pPr>
        <w:pStyle w:val="a5"/>
        <w:numPr>
          <w:ilvl w:val="0"/>
          <w:numId w:val="2"/>
        </w:numPr>
        <w:ind w:leftChars="0"/>
        <w:rPr>
          <w:color w:val="000000" w:themeColor="text1"/>
        </w:rPr>
      </w:pPr>
      <w:r w:rsidRPr="003D6F93">
        <w:rPr>
          <w:rFonts w:hint="eastAsia"/>
          <w:color w:val="000000" w:themeColor="text1"/>
        </w:rPr>
        <w:t>収益事業の収入及び支出の規模が、当該学校法人の収益事業を除く収入及び支出の規模を上回る場合</w:t>
      </w:r>
    </w:p>
    <w:p w14:paraId="430CF0BF" w14:textId="77777777" w:rsidR="0037713E" w:rsidRPr="003D6F93" w:rsidRDefault="0037713E" w:rsidP="0037713E">
      <w:pPr>
        <w:ind w:left="284"/>
        <w:rPr>
          <w:color w:val="000000" w:themeColor="text1"/>
        </w:rPr>
      </w:pPr>
    </w:p>
    <w:p w14:paraId="627CA4D7" w14:textId="77777777" w:rsidR="0037713E" w:rsidRPr="003D6F93" w:rsidRDefault="0037713E" w:rsidP="00275809">
      <w:pPr>
        <w:pStyle w:val="a5"/>
        <w:numPr>
          <w:ilvl w:val="0"/>
          <w:numId w:val="2"/>
        </w:numPr>
        <w:ind w:leftChars="0"/>
        <w:rPr>
          <w:color w:val="000000" w:themeColor="text1"/>
        </w:rPr>
      </w:pPr>
      <w:r w:rsidRPr="003D6F93">
        <w:rPr>
          <w:rFonts w:hint="eastAsia"/>
          <w:color w:val="000000" w:themeColor="text1"/>
        </w:rPr>
        <w:t>当該学校法人の設置する学校の資産、予算、決算、教職員数等の状態に照らして、収益事業の資産、予算、決算、職員数等が過大で、教育研究事業に必要な基本財産、資金、施設設備等の維持や教職員の雇用を圧迫するおそれがある場合</w:t>
      </w:r>
    </w:p>
    <w:p w14:paraId="62CCBF58" w14:textId="77777777" w:rsidR="00F11956" w:rsidRPr="003D6F93" w:rsidRDefault="00F11956" w:rsidP="0037713E">
      <w:pPr>
        <w:ind w:left="284"/>
        <w:rPr>
          <w:color w:val="000000" w:themeColor="text1"/>
        </w:rPr>
      </w:pPr>
      <w:r w:rsidRPr="003D6F93">
        <w:rPr>
          <w:rFonts w:hint="eastAsia"/>
          <w:color w:val="000000" w:themeColor="text1"/>
        </w:rPr>
        <w:t xml:space="preserve">　</w:t>
      </w:r>
    </w:p>
    <w:p w14:paraId="63D57ABE" w14:textId="77777777" w:rsidR="00F11956" w:rsidRPr="003D6F93" w:rsidRDefault="00F11956" w:rsidP="006208CE">
      <w:pPr>
        <w:ind w:left="297" w:hangingChars="135" w:hanging="297"/>
        <w:rPr>
          <w:color w:val="000000" w:themeColor="text1"/>
        </w:rPr>
      </w:pPr>
      <w:r w:rsidRPr="003D6F93">
        <w:rPr>
          <w:rFonts w:hint="eastAsia"/>
          <w:color w:val="000000" w:themeColor="text1"/>
        </w:rPr>
        <w:t>３．次のような場合は、本府告示の第</w:t>
      </w:r>
      <w:r w:rsidR="00275809" w:rsidRPr="003D6F93">
        <w:rPr>
          <w:rFonts w:hint="eastAsia"/>
          <w:color w:val="000000" w:themeColor="text1"/>
        </w:rPr>
        <w:t>１の４</w:t>
      </w:r>
      <w:r w:rsidRPr="003D6F93">
        <w:rPr>
          <w:rFonts w:hint="eastAsia"/>
          <w:color w:val="000000" w:themeColor="text1"/>
        </w:rPr>
        <w:t>に定める学校法人以外の者に対する名義の貸与、その他不正の方法によって経営されるものであること。</w:t>
      </w:r>
    </w:p>
    <w:p w14:paraId="0FD2BAD2" w14:textId="77777777" w:rsidR="00F11956" w:rsidRPr="003D6F93" w:rsidRDefault="00F11956" w:rsidP="00F11956">
      <w:pPr>
        <w:ind w:left="284"/>
        <w:jc w:val="left"/>
        <w:rPr>
          <w:color w:val="000000" w:themeColor="text1"/>
        </w:rPr>
      </w:pPr>
    </w:p>
    <w:p w14:paraId="2255BE11" w14:textId="77777777" w:rsidR="00F11956" w:rsidRPr="003D6F93" w:rsidRDefault="00576927" w:rsidP="00275809">
      <w:pPr>
        <w:pStyle w:val="a5"/>
        <w:numPr>
          <w:ilvl w:val="0"/>
          <w:numId w:val="3"/>
        </w:numPr>
        <w:ind w:leftChars="0"/>
        <w:rPr>
          <w:color w:val="000000" w:themeColor="text1"/>
        </w:rPr>
      </w:pPr>
      <w:r w:rsidRPr="003D6F93">
        <w:rPr>
          <w:rFonts w:hint="eastAsia"/>
          <w:color w:val="000000" w:themeColor="text1"/>
        </w:rPr>
        <w:t>収</w:t>
      </w:r>
      <w:r w:rsidR="00F11956" w:rsidRPr="003D6F93">
        <w:rPr>
          <w:rFonts w:hint="eastAsia"/>
          <w:color w:val="000000" w:themeColor="text1"/>
        </w:rPr>
        <w:t>益事業の計画、内容、方法、予算、執行管理等事業経営の基本的な事項について、学校法人の理事会、評議員会の適切な意思決定や審査・監査が行</w:t>
      </w:r>
      <w:r w:rsidR="00FA0F1B" w:rsidRPr="003D6F93">
        <w:rPr>
          <w:rFonts w:hint="eastAsia"/>
          <w:color w:val="000000" w:themeColor="text1"/>
        </w:rPr>
        <w:t>な</w:t>
      </w:r>
      <w:r w:rsidR="00F11956" w:rsidRPr="003D6F93">
        <w:rPr>
          <w:rFonts w:hint="eastAsia"/>
          <w:color w:val="000000" w:themeColor="text1"/>
        </w:rPr>
        <w:t>われないなど、学校法人以外の者に収益事業の経営のすべてが委ねられるような方法で経営されるおそれがある場合</w:t>
      </w:r>
    </w:p>
    <w:p w14:paraId="4E69595B" w14:textId="77777777" w:rsidR="00F11956" w:rsidRPr="003D6F93" w:rsidRDefault="00F11956" w:rsidP="00F11956">
      <w:pPr>
        <w:ind w:left="284"/>
        <w:jc w:val="left"/>
        <w:rPr>
          <w:color w:val="000000" w:themeColor="text1"/>
        </w:rPr>
      </w:pPr>
    </w:p>
    <w:p w14:paraId="3A95E754" w14:textId="77777777" w:rsidR="00F11956" w:rsidRPr="003D6F93" w:rsidRDefault="00F11956" w:rsidP="00275809">
      <w:pPr>
        <w:pStyle w:val="a5"/>
        <w:numPr>
          <w:ilvl w:val="0"/>
          <w:numId w:val="3"/>
        </w:numPr>
        <w:ind w:leftChars="0"/>
        <w:rPr>
          <w:color w:val="000000" w:themeColor="text1"/>
        </w:rPr>
      </w:pPr>
      <w:r w:rsidRPr="003D6F93">
        <w:rPr>
          <w:rFonts w:hint="eastAsia"/>
          <w:color w:val="000000" w:themeColor="text1"/>
        </w:rPr>
        <w:t>学校法人が当該収益事業に係る業務の委託を行</w:t>
      </w:r>
      <w:r w:rsidR="00FA0F1B" w:rsidRPr="003D6F93">
        <w:rPr>
          <w:rFonts w:hint="eastAsia"/>
          <w:color w:val="000000" w:themeColor="text1"/>
        </w:rPr>
        <w:t>な</w:t>
      </w:r>
      <w:r w:rsidRPr="003D6F93">
        <w:rPr>
          <w:rFonts w:hint="eastAsia"/>
          <w:color w:val="000000" w:themeColor="text1"/>
        </w:rPr>
        <w:t>うにあたり、適正な委託契約が締結されず、業務委託を受けた学校法人以外の者が学校法人の名義を使用して事業経営を行うおそれがある場合</w:t>
      </w:r>
    </w:p>
    <w:p w14:paraId="3CB17531" w14:textId="77777777" w:rsidR="00F11956" w:rsidRPr="003D6F93" w:rsidRDefault="00F11956" w:rsidP="006208CE">
      <w:pPr>
        <w:ind w:left="297" w:hangingChars="135" w:hanging="297"/>
        <w:rPr>
          <w:color w:val="000000" w:themeColor="text1"/>
        </w:rPr>
      </w:pPr>
      <w:r w:rsidRPr="003D6F93">
        <w:rPr>
          <w:rFonts w:hint="eastAsia"/>
          <w:color w:val="000000" w:themeColor="text1"/>
        </w:rPr>
        <w:lastRenderedPageBreak/>
        <w:t>４．次のような場合は、本府告示の第</w:t>
      </w:r>
      <w:r w:rsidR="00275809" w:rsidRPr="003D6F93">
        <w:rPr>
          <w:rFonts w:hint="eastAsia"/>
          <w:color w:val="000000" w:themeColor="text1"/>
        </w:rPr>
        <w:t>１の５</w:t>
      </w:r>
      <w:r w:rsidRPr="003D6F93">
        <w:rPr>
          <w:rFonts w:hint="eastAsia"/>
          <w:color w:val="000000" w:themeColor="text1"/>
        </w:rPr>
        <w:t>に定める学校法人の設置する学校の教育に支障のあるもので</w:t>
      </w:r>
      <w:r w:rsidR="00FA0F1B" w:rsidRPr="003D6F93">
        <w:rPr>
          <w:rFonts w:hint="eastAsia"/>
          <w:color w:val="000000" w:themeColor="text1"/>
        </w:rPr>
        <w:t>ある</w:t>
      </w:r>
      <w:r w:rsidRPr="003D6F93">
        <w:rPr>
          <w:rFonts w:hint="eastAsia"/>
          <w:color w:val="000000" w:themeColor="text1"/>
        </w:rPr>
        <w:t>こと</w:t>
      </w:r>
    </w:p>
    <w:p w14:paraId="7EE99F14" w14:textId="77777777" w:rsidR="00F11956" w:rsidRPr="003D6F93" w:rsidRDefault="00F11956" w:rsidP="006208CE">
      <w:pPr>
        <w:ind w:leftChars="35" w:left="77"/>
        <w:jc w:val="left"/>
        <w:rPr>
          <w:color w:val="000000" w:themeColor="text1"/>
        </w:rPr>
      </w:pPr>
    </w:p>
    <w:p w14:paraId="6388D101" w14:textId="77777777" w:rsidR="005920B0" w:rsidRPr="003D6F93" w:rsidRDefault="00F11956" w:rsidP="00F042C0">
      <w:pPr>
        <w:pStyle w:val="a5"/>
        <w:numPr>
          <w:ilvl w:val="0"/>
          <w:numId w:val="4"/>
        </w:numPr>
        <w:ind w:leftChars="0"/>
        <w:rPr>
          <w:color w:val="000000" w:themeColor="text1"/>
        </w:rPr>
      </w:pPr>
      <w:r w:rsidRPr="003D6F93">
        <w:rPr>
          <w:rFonts w:hint="eastAsia"/>
          <w:color w:val="000000" w:themeColor="text1"/>
        </w:rPr>
        <w:t>当該学校の学則に定める</w:t>
      </w:r>
      <w:r w:rsidR="00F042C0" w:rsidRPr="003D6F93">
        <w:rPr>
          <w:rFonts w:hint="eastAsia"/>
          <w:color w:val="000000" w:themeColor="text1"/>
        </w:rPr>
        <w:t>休業日以外の日にあって、始業時刻から終</w:t>
      </w:r>
      <w:r w:rsidR="005920B0" w:rsidRPr="003D6F93">
        <w:rPr>
          <w:rFonts w:hint="eastAsia"/>
          <w:color w:val="000000" w:themeColor="text1"/>
        </w:rPr>
        <w:t>業時刻迄の時間帯</w:t>
      </w:r>
      <w:r w:rsidR="006208CE" w:rsidRPr="003D6F93">
        <w:rPr>
          <w:rFonts w:hint="eastAsia"/>
          <w:color w:val="000000" w:themeColor="text1"/>
        </w:rPr>
        <w:t>（</w:t>
      </w:r>
      <w:r w:rsidR="005920B0" w:rsidRPr="003D6F93">
        <w:rPr>
          <w:rFonts w:hint="eastAsia"/>
          <w:color w:val="000000" w:themeColor="text1"/>
        </w:rPr>
        <w:t>クラブ活動等の課外活動を行う時間帯を含む。</w:t>
      </w:r>
      <w:r w:rsidR="006208CE" w:rsidRPr="003D6F93">
        <w:rPr>
          <w:rFonts w:hint="eastAsia"/>
          <w:color w:val="000000" w:themeColor="text1"/>
        </w:rPr>
        <w:t>）</w:t>
      </w:r>
      <w:r w:rsidR="005920B0" w:rsidRPr="003D6F93">
        <w:rPr>
          <w:rFonts w:hint="eastAsia"/>
          <w:color w:val="000000" w:themeColor="text1"/>
        </w:rPr>
        <w:t>に、当該学校法人が設置する学校の校地あるいは校舎の一部又は全部を当該収益事業の事業場として使用する場合で、以下の条件を満たすことが明らかでなく、教育研究事業及び附帯事業等の円滑な遂行を妨げるおそれがある場合</w:t>
      </w:r>
    </w:p>
    <w:p w14:paraId="12C6EE41" w14:textId="77777777" w:rsidR="005920B0" w:rsidRPr="003D6F93" w:rsidRDefault="005920B0" w:rsidP="006208CE">
      <w:pPr>
        <w:ind w:leftChars="135" w:left="517" w:hangingChars="100" w:hanging="220"/>
        <w:jc w:val="left"/>
        <w:rPr>
          <w:color w:val="000000" w:themeColor="text1"/>
        </w:rPr>
      </w:pPr>
    </w:p>
    <w:p w14:paraId="74AEF3C0" w14:textId="77777777" w:rsidR="001E6A43" w:rsidRPr="003D6F93" w:rsidRDefault="005920B0" w:rsidP="006208CE">
      <w:pPr>
        <w:ind w:leftChars="135" w:left="741" w:hangingChars="202" w:hanging="444"/>
        <w:jc w:val="left"/>
        <w:rPr>
          <w:color w:val="000000" w:themeColor="text1"/>
        </w:rPr>
      </w:pPr>
      <w:r w:rsidRPr="003D6F93">
        <w:rPr>
          <w:rFonts w:hint="eastAsia"/>
          <w:color w:val="000000" w:themeColor="text1"/>
        </w:rPr>
        <w:t xml:space="preserve">　ア　当該学校として使用する部分と、事業場として使用する部分の区分が明確であること。また、事業場として</w:t>
      </w:r>
      <w:r w:rsidR="001E6A43" w:rsidRPr="003D6F93">
        <w:rPr>
          <w:rFonts w:hint="eastAsia"/>
          <w:color w:val="000000" w:themeColor="text1"/>
        </w:rPr>
        <w:t>使用する部分が一棟の建物の一部分であって、２以上の階にまたがる場合は、連続した階であること。</w:t>
      </w:r>
    </w:p>
    <w:p w14:paraId="76C9F92B" w14:textId="77777777" w:rsidR="001E6A43" w:rsidRPr="003D6F93" w:rsidRDefault="001E6A43" w:rsidP="006208CE">
      <w:pPr>
        <w:ind w:leftChars="135" w:left="741" w:hangingChars="202" w:hanging="444"/>
        <w:jc w:val="left"/>
        <w:rPr>
          <w:color w:val="000000" w:themeColor="text1"/>
        </w:rPr>
      </w:pPr>
      <w:r w:rsidRPr="003D6F93">
        <w:rPr>
          <w:rFonts w:hint="eastAsia"/>
          <w:color w:val="000000" w:themeColor="text1"/>
        </w:rPr>
        <w:t xml:space="preserve">　イ　出入口及び当該事業場に至る通路等が事業場の専用であって、在学生</w:t>
      </w:r>
      <w:r w:rsidRPr="003D6F93">
        <w:rPr>
          <w:rFonts w:hint="eastAsia"/>
          <w:color w:val="000000" w:themeColor="text1"/>
        </w:rPr>
        <w:t>(</w:t>
      </w:r>
      <w:r w:rsidRPr="003D6F93">
        <w:rPr>
          <w:rFonts w:hint="eastAsia"/>
          <w:color w:val="000000" w:themeColor="text1"/>
        </w:rPr>
        <w:t>園児</w:t>
      </w:r>
      <w:r w:rsidRPr="003D6F93">
        <w:rPr>
          <w:rFonts w:hint="eastAsia"/>
          <w:color w:val="000000" w:themeColor="text1"/>
        </w:rPr>
        <w:t>)</w:t>
      </w:r>
      <w:r w:rsidRPr="003D6F93">
        <w:rPr>
          <w:rFonts w:hint="eastAsia"/>
          <w:color w:val="000000" w:themeColor="text1"/>
        </w:rPr>
        <w:t>が利用するものと区分されていること。ただし、不特定多数の人や従業員等の出入りが随時にない場合はこの限りでない。</w:t>
      </w:r>
    </w:p>
    <w:p w14:paraId="3D68E088" w14:textId="77777777" w:rsidR="00F20721" w:rsidRPr="003D6F93" w:rsidRDefault="001E6A43" w:rsidP="006208CE">
      <w:pPr>
        <w:ind w:leftChars="135" w:left="741" w:hangingChars="202" w:hanging="444"/>
        <w:jc w:val="left"/>
        <w:rPr>
          <w:color w:val="000000" w:themeColor="text1"/>
        </w:rPr>
      </w:pPr>
      <w:r w:rsidRPr="003D6F93">
        <w:rPr>
          <w:rFonts w:hint="eastAsia"/>
          <w:color w:val="000000" w:themeColor="text1"/>
        </w:rPr>
        <w:t xml:space="preserve">　ウ　騒音・煤煙・臭気を著しく発生させるなど環境面や保健衛生、教育などの観点から社会通念上</w:t>
      </w:r>
      <w:r w:rsidR="00F20721" w:rsidRPr="003D6F93">
        <w:rPr>
          <w:rFonts w:hint="eastAsia"/>
          <w:color w:val="000000" w:themeColor="text1"/>
        </w:rPr>
        <w:t>当該学校の教育に悪影響がないこと。</w:t>
      </w:r>
    </w:p>
    <w:p w14:paraId="7B7A8942" w14:textId="77777777" w:rsidR="00F20721" w:rsidRPr="003D6F93" w:rsidRDefault="00F20721" w:rsidP="006208CE">
      <w:pPr>
        <w:ind w:leftChars="135" w:left="741" w:hangingChars="202" w:hanging="444"/>
        <w:jc w:val="left"/>
        <w:rPr>
          <w:color w:val="000000" w:themeColor="text1"/>
        </w:rPr>
      </w:pPr>
      <w:r w:rsidRPr="003D6F93">
        <w:rPr>
          <w:rFonts w:hint="eastAsia"/>
          <w:color w:val="000000" w:themeColor="text1"/>
        </w:rPr>
        <w:t xml:space="preserve">　エ　校地あるいは校舎の面積は、事業場として使用する部分を除いて、設置基準上必要な面積を備えていること。</w:t>
      </w:r>
    </w:p>
    <w:p w14:paraId="26F0B099" w14:textId="77777777" w:rsidR="00F20721" w:rsidRPr="003D6F93" w:rsidRDefault="00F20721" w:rsidP="006208CE">
      <w:pPr>
        <w:ind w:leftChars="135" w:left="517" w:hangingChars="100" w:hanging="220"/>
        <w:jc w:val="left"/>
        <w:rPr>
          <w:color w:val="000000" w:themeColor="text1"/>
        </w:rPr>
      </w:pPr>
    </w:p>
    <w:p w14:paraId="7AB3AEBA" w14:textId="77777777" w:rsidR="00870693" w:rsidRPr="003D6F93" w:rsidRDefault="00F20721" w:rsidP="00F042C0">
      <w:pPr>
        <w:pStyle w:val="a5"/>
        <w:numPr>
          <w:ilvl w:val="0"/>
          <w:numId w:val="4"/>
        </w:numPr>
        <w:ind w:leftChars="0"/>
        <w:rPr>
          <w:color w:val="000000" w:themeColor="text1"/>
        </w:rPr>
      </w:pPr>
      <w:r w:rsidRPr="003D6F93">
        <w:rPr>
          <w:rFonts w:hint="eastAsia"/>
          <w:color w:val="000000" w:themeColor="text1"/>
        </w:rPr>
        <w:t>当該学校</w:t>
      </w:r>
      <w:r w:rsidR="00F042C0" w:rsidRPr="003D6F93">
        <w:rPr>
          <w:rFonts w:hint="eastAsia"/>
          <w:color w:val="000000" w:themeColor="text1"/>
        </w:rPr>
        <w:t>の学則に定める休業日以外の日にあって、始業時刻から終</w:t>
      </w:r>
      <w:r w:rsidR="00870693" w:rsidRPr="003D6F93">
        <w:rPr>
          <w:rFonts w:hint="eastAsia"/>
          <w:color w:val="000000" w:themeColor="text1"/>
        </w:rPr>
        <w:t>業時刻までの時間帯</w:t>
      </w:r>
      <w:r w:rsidR="00576927" w:rsidRPr="003D6F93">
        <w:rPr>
          <w:rFonts w:hint="eastAsia"/>
          <w:color w:val="000000" w:themeColor="text1"/>
        </w:rPr>
        <w:t>（</w:t>
      </w:r>
      <w:r w:rsidR="00870693" w:rsidRPr="003D6F93">
        <w:rPr>
          <w:rFonts w:hint="eastAsia"/>
          <w:color w:val="000000" w:themeColor="text1"/>
        </w:rPr>
        <w:t>クラブ活動等の課外活動を行う時間帯を含む。</w:t>
      </w:r>
      <w:r w:rsidR="00576927" w:rsidRPr="003D6F93">
        <w:rPr>
          <w:rFonts w:hint="eastAsia"/>
          <w:color w:val="000000" w:themeColor="text1"/>
        </w:rPr>
        <w:t>）</w:t>
      </w:r>
      <w:r w:rsidR="00870693" w:rsidRPr="003D6F93">
        <w:rPr>
          <w:rFonts w:hint="eastAsia"/>
          <w:color w:val="000000" w:themeColor="text1"/>
        </w:rPr>
        <w:t>に、当該学校の教育用の設備、機械、器具、標本、図書等を使用する場合で、教育研究事業及び附帯事業等の円滑な遂行を妨げるおそれがある場合</w:t>
      </w:r>
    </w:p>
    <w:p w14:paraId="5A430AE8" w14:textId="77777777" w:rsidR="00870693" w:rsidRPr="003D6F93" w:rsidRDefault="00870693" w:rsidP="006208CE">
      <w:pPr>
        <w:ind w:leftChars="135" w:left="517" w:hangingChars="100" w:hanging="220"/>
        <w:jc w:val="left"/>
        <w:rPr>
          <w:color w:val="000000" w:themeColor="text1"/>
        </w:rPr>
      </w:pPr>
      <w:r w:rsidRPr="003D6F93">
        <w:rPr>
          <w:rFonts w:hint="eastAsia"/>
          <w:color w:val="000000" w:themeColor="text1"/>
        </w:rPr>
        <w:t xml:space="preserve">　</w:t>
      </w:r>
    </w:p>
    <w:p w14:paraId="59065181" w14:textId="77777777" w:rsidR="00870693" w:rsidRPr="003D6F93" w:rsidRDefault="00870693" w:rsidP="00F042C0">
      <w:pPr>
        <w:pStyle w:val="a5"/>
        <w:numPr>
          <w:ilvl w:val="0"/>
          <w:numId w:val="4"/>
        </w:numPr>
        <w:ind w:leftChars="0"/>
        <w:rPr>
          <w:color w:val="000000" w:themeColor="text1"/>
        </w:rPr>
      </w:pPr>
      <w:r w:rsidRPr="003D6F93">
        <w:rPr>
          <w:rFonts w:hint="eastAsia"/>
          <w:color w:val="000000" w:themeColor="text1"/>
        </w:rPr>
        <w:t>当該学校の専任又は兼任の教職員が収益事業に従事する場合で、教職員として教育研究事業等に従事すべき所定の就業時間と当該収益事業に従事する時間が明確に区分されていない場合</w:t>
      </w:r>
    </w:p>
    <w:p w14:paraId="627198EE" w14:textId="77777777" w:rsidR="00870693" w:rsidRPr="003D6F93" w:rsidRDefault="00870693" w:rsidP="006208CE">
      <w:pPr>
        <w:ind w:leftChars="135" w:left="517" w:hangingChars="100" w:hanging="220"/>
        <w:jc w:val="left"/>
        <w:rPr>
          <w:color w:val="000000" w:themeColor="text1"/>
        </w:rPr>
      </w:pPr>
    </w:p>
    <w:p w14:paraId="3B04BED9" w14:textId="77777777" w:rsidR="00E81275" w:rsidRPr="003D6F93" w:rsidRDefault="00E81275" w:rsidP="006208CE">
      <w:pPr>
        <w:ind w:leftChars="35" w:left="297" w:hangingChars="100" w:hanging="220"/>
        <w:jc w:val="left"/>
        <w:rPr>
          <w:color w:val="000000" w:themeColor="text1"/>
        </w:rPr>
      </w:pPr>
      <w:r w:rsidRPr="003D6F93">
        <w:rPr>
          <w:rFonts w:hint="eastAsia"/>
          <w:color w:val="000000" w:themeColor="text1"/>
        </w:rPr>
        <w:t>５．当該収益事業の実施に伴って、教育研究用施設・設備に安全管理上の問題が生じないよう、また、児童生徒等に危害を加えるおそれのある者の校地及び校舎への侵入を容易にするなど児童生徒等の安全管理に懸念が生じることがないよう、適切な措置が講じられていること。</w:t>
      </w:r>
    </w:p>
    <w:p w14:paraId="401A633F" w14:textId="77777777" w:rsidR="00E81275" w:rsidRPr="003D6F93" w:rsidRDefault="00E81275" w:rsidP="006208CE">
      <w:pPr>
        <w:ind w:leftChars="35" w:left="297" w:hangingChars="100" w:hanging="220"/>
        <w:jc w:val="left"/>
        <w:rPr>
          <w:color w:val="000000" w:themeColor="text1"/>
        </w:rPr>
      </w:pPr>
    </w:p>
    <w:p w14:paraId="4F5E4E9D" w14:textId="77777777" w:rsidR="00EA7186" w:rsidRPr="003D6F93" w:rsidRDefault="00EA7186" w:rsidP="006208CE">
      <w:pPr>
        <w:ind w:leftChars="35" w:left="297" w:hangingChars="100" w:hanging="220"/>
        <w:jc w:val="left"/>
        <w:rPr>
          <w:color w:val="000000" w:themeColor="text1"/>
        </w:rPr>
      </w:pPr>
    </w:p>
    <w:p w14:paraId="6FFAB7FF" w14:textId="77777777" w:rsidR="00EA7186" w:rsidRPr="003D6F93" w:rsidRDefault="00EA7186" w:rsidP="006208CE">
      <w:pPr>
        <w:ind w:leftChars="35" w:left="297" w:hangingChars="100" w:hanging="220"/>
        <w:jc w:val="left"/>
        <w:rPr>
          <w:color w:val="000000" w:themeColor="text1"/>
        </w:rPr>
      </w:pPr>
    </w:p>
    <w:p w14:paraId="00719F1C" w14:textId="77777777" w:rsidR="00E81275" w:rsidRPr="003D6F93" w:rsidRDefault="00E81275" w:rsidP="006208CE">
      <w:pPr>
        <w:ind w:leftChars="35" w:left="297" w:hangingChars="100" w:hanging="220"/>
        <w:jc w:val="left"/>
        <w:rPr>
          <w:color w:val="000000" w:themeColor="text1"/>
        </w:rPr>
      </w:pPr>
      <w:r w:rsidRPr="003D6F93">
        <w:rPr>
          <w:rFonts w:hint="eastAsia"/>
          <w:color w:val="000000" w:themeColor="text1"/>
        </w:rPr>
        <w:lastRenderedPageBreak/>
        <w:t>６．収益事業の収支状況や収益の取り扱い等について、以下の内容が確認されていること。</w:t>
      </w:r>
    </w:p>
    <w:p w14:paraId="21F1B730" w14:textId="77777777" w:rsidR="00E81275" w:rsidRPr="003D6F93" w:rsidRDefault="00E81275" w:rsidP="006208CE">
      <w:pPr>
        <w:ind w:leftChars="35" w:left="297" w:hangingChars="100" w:hanging="220"/>
        <w:jc w:val="left"/>
        <w:rPr>
          <w:color w:val="000000" w:themeColor="text1"/>
        </w:rPr>
      </w:pPr>
    </w:p>
    <w:p w14:paraId="510D60E3" w14:textId="77777777" w:rsidR="00E81275" w:rsidRPr="003D6F93" w:rsidRDefault="00E81275" w:rsidP="00F042C0">
      <w:pPr>
        <w:pStyle w:val="a5"/>
        <w:numPr>
          <w:ilvl w:val="0"/>
          <w:numId w:val="5"/>
        </w:numPr>
        <w:ind w:leftChars="0"/>
        <w:rPr>
          <w:color w:val="000000" w:themeColor="text1"/>
        </w:rPr>
      </w:pPr>
      <w:r w:rsidRPr="003D6F93">
        <w:rPr>
          <w:rFonts w:hint="eastAsia"/>
          <w:color w:val="000000" w:themeColor="text1"/>
        </w:rPr>
        <w:t>確実に安定した収益が生じると見込める事業であること。</w:t>
      </w:r>
    </w:p>
    <w:p w14:paraId="094ACF81" w14:textId="77777777" w:rsidR="00E81275" w:rsidRPr="003D6F93" w:rsidRDefault="00E81275" w:rsidP="006208CE">
      <w:pPr>
        <w:ind w:leftChars="35" w:left="297" w:hangingChars="100" w:hanging="220"/>
        <w:jc w:val="left"/>
        <w:rPr>
          <w:color w:val="000000" w:themeColor="text1"/>
        </w:rPr>
      </w:pPr>
    </w:p>
    <w:p w14:paraId="16073A5E" w14:textId="77777777" w:rsidR="00E81275" w:rsidRPr="003D6F93" w:rsidRDefault="00E81275" w:rsidP="00F042C0">
      <w:pPr>
        <w:pStyle w:val="a5"/>
        <w:numPr>
          <w:ilvl w:val="0"/>
          <w:numId w:val="5"/>
        </w:numPr>
        <w:ind w:leftChars="0"/>
        <w:rPr>
          <w:color w:val="000000" w:themeColor="text1"/>
        </w:rPr>
      </w:pPr>
      <w:r w:rsidRPr="003D6F93">
        <w:rPr>
          <w:rFonts w:hint="eastAsia"/>
          <w:color w:val="000000" w:themeColor="text1"/>
        </w:rPr>
        <w:t>当該収益事業に係る借入金</w:t>
      </w:r>
      <w:r w:rsidR="00576927" w:rsidRPr="003D6F93">
        <w:rPr>
          <w:rFonts w:hint="eastAsia"/>
          <w:color w:val="000000" w:themeColor="text1"/>
        </w:rPr>
        <w:t>（</w:t>
      </w:r>
      <w:r w:rsidRPr="003D6F93">
        <w:rPr>
          <w:rFonts w:hint="eastAsia"/>
          <w:color w:val="000000" w:themeColor="text1"/>
        </w:rPr>
        <w:t>長期借入金、短期借入金のみ。買掛金、未払金を含まない。</w:t>
      </w:r>
      <w:r w:rsidR="00576927" w:rsidRPr="003D6F93">
        <w:rPr>
          <w:rFonts w:hint="eastAsia"/>
          <w:color w:val="000000" w:themeColor="text1"/>
        </w:rPr>
        <w:t>）</w:t>
      </w:r>
      <w:r w:rsidRPr="003D6F93">
        <w:rPr>
          <w:rFonts w:hint="eastAsia"/>
          <w:color w:val="000000" w:themeColor="text1"/>
        </w:rPr>
        <w:t>は、原則認められないこと。</w:t>
      </w:r>
    </w:p>
    <w:p w14:paraId="2E56EBF6" w14:textId="77777777" w:rsidR="00E81275" w:rsidRPr="003D6F93" w:rsidRDefault="00E81275" w:rsidP="006208CE">
      <w:pPr>
        <w:ind w:leftChars="35" w:left="517" w:hangingChars="200" w:hanging="440"/>
        <w:jc w:val="left"/>
        <w:rPr>
          <w:color w:val="000000" w:themeColor="text1"/>
        </w:rPr>
      </w:pPr>
    </w:p>
    <w:p w14:paraId="57A6FE9A" w14:textId="77777777" w:rsidR="00E81275" w:rsidRPr="003D6F93" w:rsidRDefault="00E81275" w:rsidP="00F042C0">
      <w:pPr>
        <w:pStyle w:val="a5"/>
        <w:numPr>
          <w:ilvl w:val="0"/>
          <w:numId w:val="5"/>
        </w:numPr>
        <w:ind w:leftChars="0"/>
        <w:rPr>
          <w:color w:val="000000" w:themeColor="text1"/>
        </w:rPr>
      </w:pPr>
      <w:r w:rsidRPr="003D6F93">
        <w:rPr>
          <w:rFonts w:hint="eastAsia"/>
          <w:color w:val="000000" w:themeColor="text1"/>
        </w:rPr>
        <w:t>当該収益事業開始後に収支が悪化するなど状況に変化があった場合、速やかに当初の事業計画が見直され、適切な対応がなされること。</w:t>
      </w:r>
    </w:p>
    <w:p w14:paraId="3C8249AA" w14:textId="77777777" w:rsidR="00E81275" w:rsidRPr="003D6F93" w:rsidRDefault="00E81275" w:rsidP="006208CE">
      <w:pPr>
        <w:ind w:leftChars="35" w:left="517" w:hangingChars="200" w:hanging="440"/>
        <w:jc w:val="left"/>
        <w:rPr>
          <w:color w:val="000000" w:themeColor="text1"/>
        </w:rPr>
      </w:pPr>
      <w:r w:rsidRPr="003D6F93">
        <w:rPr>
          <w:rFonts w:hint="eastAsia"/>
          <w:color w:val="000000" w:themeColor="text1"/>
        </w:rPr>
        <w:t xml:space="preserve">　</w:t>
      </w:r>
    </w:p>
    <w:p w14:paraId="6D50D1ED" w14:textId="77777777" w:rsidR="00E81275" w:rsidRPr="003D6F93" w:rsidRDefault="00E81275" w:rsidP="00F042C0">
      <w:pPr>
        <w:pStyle w:val="a5"/>
        <w:numPr>
          <w:ilvl w:val="0"/>
          <w:numId w:val="5"/>
        </w:numPr>
        <w:ind w:leftChars="0"/>
        <w:rPr>
          <w:color w:val="000000" w:themeColor="text1"/>
        </w:rPr>
      </w:pPr>
      <w:r w:rsidRPr="003D6F93">
        <w:rPr>
          <w:rFonts w:hint="eastAsia"/>
          <w:color w:val="000000" w:themeColor="text1"/>
        </w:rPr>
        <w:t>当該収益事業から生じた収益は当該法人が設置する学校の経営の目的のために使用すること。ただし、当該収益事業の遂行に必要な経費に充てるため、適正な範囲で次年度に繰り越すことは認められる。</w:t>
      </w:r>
    </w:p>
    <w:p w14:paraId="509262C3" w14:textId="77777777" w:rsidR="00E81275" w:rsidRPr="003D6F93" w:rsidRDefault="00E81275" w:rsidP="006208CE">
      <w:pPr>
        <w:ind w:leftChars="35" w:left="517" w:hangingChars="200" w:hanging="440"/>
        <w:jc w:val="left"/>
        <w:rPr>
          <w:color w:val="000000" w:themeColor="text1"/>
        </w:rPr>
      </w:pPr>
    </w:p>
    <w:p w14:paraId="1AE3C1D0" w14:textId="77777777" w:rsidR="009C6790" w:rsidRPr="003D6F93" w:rsidRDefault="00E81275" w:rsidP="00F042C0">
      <w:pPr>
        <w:pStyle w:val="a5"/>
        <w:numPr>
          <w:ilvl w:val="0"/>
          <w:numId w:val="5"/>
        </w:numPr>
        <w:ind w:leftChars="0"/>
        <w:rPr>
          <w:color w:val="000000" w:themeColor="text1"/>
        </w:rPr>
      </w:pPr>
      <w:r w:rsidRPr="003D6F93">
        <w:rPr>
          <w:rFonts w:hint="eastAsia"/>
          <w:color w:val="000000" w:themeColor="text1"/>
        </w:rPr>
        <w:t>収益事業から生じた収益は、理事等に分配しないこと。</w:t>
      </w:r>
    </w:p>
    <w:p w14:paraId="2E8EFC6A" w14:textId="77777777" w:rsidR="009C6790" w:rsidRPr="003D6F93" w:rsidRDefault="009C6790" w:rsidP="006208CE">
      <w:pPr>
        <w:ind w:leftChars="35" w:left="517" w:hangingChars="200" w:hanging="440"/>
        <w:jc w:val="left"/>
        <w:rPr>
          <w:color w:val="000000" w:themeColor="text1"/>
        </w:rPr>
      </w:pPr>
    </w:p>
    <w:p w14:paraId="3E763CA9" w14:textId="77777777" w:rsidR="009C6790" w:rsidRPr="003D6F93" w:rsidRDefault="009C6790" w:rsidP="00576927">
      <w:pPr>
        <w:ind w:leftChars="35" w:left="297" w:hangingChars="100" w:hanging="220"/>
        <w:jc w:val="left"/>
        <w:rPr>
          <w:color w:val="000000" w:themeColor="text1"/>
        </w:rPr>
      </w:pPr>
      <w:r w:rsidRPr="003D6F93">
        <w:rPr>
          <w:rFonts w:hint="eastAsia"/>
          <w:color w:val="000000" w:themeColor="text1"/>
        </w:rPr>
        <w:t>７．当該収益事業を開始するにあたって、周辺住民等地元への周知や必要な調整が適切になされていること。</w:t>
      </w:r>
    </w:p>
    <w:p w14:paraId="5901E42D" w14:textId="77777777" w:rsidR="009C6790" w:rsidRPr="003D6F93" w:rsidRDefault="009C6790" w:rsidP="006208CE">
      <w:pPr>
        <w:ind w:leftChars="35" w:left="517" w:hangingChars="200" w:hanging="440"/>
        <w:jc w:val="left"/>
        <w:rPr>
          <w:color w:val="000000" w:themeColor="text1"/>
        </w:rPr>
      </w:pPr>
    </w:p>
    <w:p w14:paraId="389B88CF" w14:textId="77777777" w:rsidR="005920B0" w:rsidRPr="003D6F93" w:rsidRDefault="009C6790" w:rsidP="00576927">
      <w:pPr>
        <w:ind w:leftChars="35" w:left="297" w:hangingChars="100" w:hanging="220"/>
        <w:jc w:val="left"/>
        <w:rPr>
          <w:color w:val="000000" w:themeColor="text1"/>
        </w:rPr>
      </w:pPr>
      <w:r w:rsidRPr="003D6F93">
        <w:rPr>
          <w:rFonts w:hint="eastAsia"/>
          <w:color w:val="000000" w:themeColor="text1"/>
        </w:rPr>
        <w:t>８．当該収益事業の実施に係る関係法令等を遵守し、適正な手続きが取られていること。</w:t>
      </w:r>
    </w:p>
    <w:sectPr w:rsidR="005920B0" w:rsidRPr="003D6F93" w:rsidSect="006208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33B4" w14:textId="77777777" w:rsidR="006208CE" w:rsidRDefault="006208CE" w:rsidP="006208CE">
      <w:r>
        <w:separator/>
      </w:r>
    </w:p>
  </w:endnote>
  <w:endnote w:type="continuationSeparator" w:id="0">
    <w:p w14:paraId="3E76E5F8" w14:textId="77777777" w:rsidR="006208CE" w:rsidRDefault="006208CE" w:rsidP="0062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4DB5" w14:textId="77777777" w:rsidR="006208CE" w:rsidRDefault="006208CE" w:rsidP="006208CE">
      <w:r>
        <w:separator/>
      </w:r>
    </w:p>
  </w:footnote>
  <w:footnote w:type="continuationSeparator" w:id="0">
    <w:p w14:paraId="352B85FF" w14:textId="77777777" w:rsidR="006208CE" w:rsidRDefault="006208CE" w:rsidP="00620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93B1E"/>
    <w:multiLevelType w:val="hybridMultilevel"/>
    <w:tmpl w:val="A14A3514"/>
    <w:lvl w:ilvl="0" w:tplc="69C62938">
      <w:start w:val="1"/>
      <w:numFmt w:val="decimalFullWidth"/>
      <w:lvlText w:val="(%1)"/>
      <w:lvlJc w:val="left"/>
      <w:pPr>
        <w:ind w:left="644"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920219"/>
    <w:multiLevelType w:val="hybridMultilevel"/>
    <w:tmpl w:val="57FE4242"/>
    <w:lvl w:ilvl="0" w:tplc="C4184FE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4C10D1"/>
    <w:multiLevelType w:val="hybridMultilevel"/>
    <w:tmpl w:val="A14A3514"/>
    <w:lvl w:ilvl="0" w:tplc="69C62938">
      <w:start w:val="1"/>
      <w:numFmt w:val="decimalFullWidth"/>
      <w:lvlText w:val="(%1)"/>
      <w:lvlJc w:val="left"/>
      <w:pPr>
        <w:ind w:left="644"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402571"/>
    <w:multiLevelType w:val="hybridMultilevel"/>
    <w:tmpl w:val="A14A3514"/>
    <w:lvl w:ilvl="0" w:tplc="69C62938">
      <w:start w:val="1"/>
      <w:numFmt w:val="decimalFullWidth"/>
      <w:lvlText w:val="(%1)"/>
      <w:lvlJc w:val="left"/>
      <w:pPr>
        <w:ind w:left="644"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A35035"/>
    <w:multiLevelType w:val="hybridMultilevel"/>
    <w:tmpl w:val="A14A3514"/>
    <w:lvl w:ilvl="0" w:tplc="69C62938">
      <w:start w:val="1"/>
      <w:numFmt w:val="decimalFullWidth"/>
      <w:lvlText w:val="(%1)"/>
      <w:lvlJc w:val="left"/>
      <w:pPr>
        <w:ind w:left="644"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248"/>
    <w:rsid w:val="00050242"/>
    <w:rsid w:val="00125945"/>
    <w:rsid w:val="00145179"/>
    <w:rsid w:val="001C37DB"/>
    <w:rsid w:val="001E6A43"/>
    <w:rsid w:val="00275809"/>
    <w:rsid w:val="00286E08"/>
    <w:rsid w:val="002920A6"/>
    <w:rsid w:val="0037713E"/>
    <w:rsid w:val="003D6F93"/>
    <w:rsid w:val="004246C7"/>
    <w:rsid w:val="004D6947"/>
    <w:rsid w:val="00576927"/>
    <w:rsid w:val="005920B0"/>
    <w:rsid w:val="006208CE"/>
    <w:rsid w:val="00724EE2"/>
    <w:rsid w:val="007A69C5"/>
    <w:rsid w:val="00870693"/>
    <w:rsid w:val="008B7B18"/>
    <w:rsid w:val="00996DAF"/>
    <w:rsid w:val="009C6790"/>
    <w:rsid w:val="00AB691D"/>
    <w:rsid w:val="00AF2248"/>
    <w:rsid w:val="00B10FD4"/>
    <w:rsid w:val="00E13A33"/>
    <w:rsid w:val="00E81275"/>
    <w:rsid w:val="00EA7186"/>
    <w:rsid w:val="00F042C0"/>
    <w:rsid w:val="00F11956"/>
    <w:rsid w:val="00F20721"/>
    <w:rsid w:val="00FA0F1B"/>
    <w:rsid w:val="00FC1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56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CE"/>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2248"/>
  </w:style>
  <w:style w:type="character" w:customStyle="1" w:styleId="a4">
    <w:name w:val="日付 (文字)"/>
    <w:basedOn w:val="a0"/>
    <w:link w:val="a3"/>
    <w:uiPriority w:val="99"/>
    <w:semiHidden/>
    <w:rsid w:val="00AF2248"/>
  </w:style>
  <w:style w:type="paragraph" w:styleId="a5">
    <w:name w:val="List Paragraph"/>
    <w:basedOn w:val="a"/>
    <w:uiPriority w:val="34"/>
    <w:qFormat/>
    <w:rsid w:val="00145179"/>
    <w:pPr>
      <w:ind w:leftChars="400" w:left="840"/>
    </w:pPr>
  </w:style>
  <w:style w:type="paragraph" w:styleId="a6">
    <w:name w:val="header"/>
    <w:basedOn w:val="a"/>
    <w:link w:val="a7"/>
    <w:uiPriority w:val="99"/>
    <w:unhideWhenUsed/>
    <w:rsid w:val="006208CE"/>
    <w:pPr>
      <w:tabs>
        <w:tab w:val="center" w:pos="4252"/>
        <w:tab w:val="right" w:pos="8504"/>
      </w:tabs>
      <w:snapToGrid w:val="0"/>
    </w:pPr>
  </w:style>
  <w:style w:type="character" w:customStyle="1" w:styleId="a7">
    <w:name w:val="ヘッダー (文字)"/>
    <w:basedOn w:val="a0"/>
    <w:link w:val="a6"/>
    <w:uiPriority w:val="99"/>
    <w:rsid w:val="006208CE"/>
  </w:style>
  <w:style w:type="paragraph" w:styleId="a8">
    <w:name w:val="footer"/>
    <w:basedOn w:val="a"/>
    <w:link w:val="a9"/>
    <w:uiPriority w:val="99"/>
    <w:unhideWhenUsed/>
    <w:rsid w:val="006208CE"/>
    <w:pPr>
      <w:tabs>
        <w:tab w:val="center" w:pos="4252"/>
        <w:tab w:val="right" w:pos="8504"/>
      </w:tabs>
      <w:snapToGrid w:val="0"/>
    </w:pPr>
  </w:style>
  <w:style w:type="character" w:customStyle="1" w:styleId="a9">
    <w:name w:val="フッター (文字)"/>
    <w:basedOn w:val="a0"/>
    <w:link w:val="a8"/>
    <w:uiPriority w:val="99"/>
    <w:rsid w:val="006208CE"/>
  </w:style>
  <w:style w:type="paragraph" w:styleId="aa">
    <w:name w:val="Balloon Text"/>
    <w:basedOn w:val="a"/>
    <w:link w:val="ab"/>
    <w:uiPriority w:val="99"/>
    <w:semiHidden/>
    <w:unhideWhenUsed/>
    <w:rsid w:val="006208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0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2E2D-807E-4383-839A-BF9B4DFD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2016-06-21T09:15:00Z</dcterms:created>
  <dcterms:modified xsi:type="dcterms:W3CDTF">2025-03-26T11:58:00Z</dcterms:modified>
</cp:coreProperties>
</file>