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A0E" w:rsidRPr="004B45AC" w:rsidRDefault="00A51A2C">
      <w:pPr>
        <w:rPr>
          <w:rFonts w:ascii="ＭＳ ゴシック" w:eastAsia="ＭＳ ゴシック" w:hAnsi="ＭＳ ゴシック"/>
          <w:sz w:val="22"/>
        </w:rPr>
      </w:pPr>
      <w:bookmarkStart w:id="0" w:name="_GoBack"/>
      <w:bookmarkEnd w:id="0"/>
    </w:p>
    <w:p w:rsidR="004C765B" w:rsidRPr="004B45AC" w:rsidRDefault="004C765B" w:rsidP="004C765B">
      <w:pPr>
        <w:jc w:val="center"/>
        <w:rPr>
          <w:rFonts w:ascii="ＭＳ ゴシック" w:eastAsia="ＭＳ ゴシック" w:hAnsi="ＭＳ ゴシック"/>
          <w:sz w:val="22"/>
        </w:rPr>
      </w:pPr>
      <w:r w:rsidRPr="004B45AC">
        <w:rPr>
          <w:rFonts w:ascii="ＭＳ ゴシック" w:eastAsia="ＭＳ ゴシック" w:hAnsi="ＭＳ ゴシック" w:hint="eastAsia"/>
          <w:sz w:val="22"/>
        </w:rPr>
        <w:t>整備事業評価書</w:t>
      </w:r>
    </w:p>
    <w:p w:rsidR="004C765B" w:rsidRPr="004B45AC" w:rsidRDefault="00702AB1" w:rsidP="004C765B">
      <w:pPr>
        <w:jc w:val="left"/>
        <w:rPr>
          <w:rFonts w:ascii="ＭＳ ゴシック" w:eastAsia="ＭＳ ゴシック" w:hAnsi="ＭＳ ゴシック"/>
          <w:sz w:val="22"/>
        </w:rPr>
      </w:pPr>
      <w:r w:rsidRPr="004B45AC">
        <w:rPr>
          <w:rFonts w:ascii="ＭＳ ゴシック" w:eastAsia="ＭＳ ゴシック" w:hAnsi="ＭＳ ゴシック" w:hint="eastAsia"/>
          <w:sz w:val="22"/>
        </w:rPr>
        <w:t>(</w:t>
      </w:r>
      <w:r w:rsidR="004C765B" w:rsidRPr="004B45AC">
        <w:rPr>
          <w:rFonts w:ascii="ＭＳ ゴシック" w:eastAsia="ＭＳ ゴシック" w:hAnsi="ＭＳ ゴシック" w:hint="eastAsia"/>
          <w:sz w:val="22"/>
        </w:rPr>
        <w:t>都道府県</w:t>
      </w:r>
      <w:r w:rsidR="00640CD5">
        <w:rPr>
          <w:rFonts w:ascii="ＭＳ ゴシック" w:eastAsia="ＭＳ ゴシック" w:hAnsi="ＭＳ ゴシック" w:hint="eastAsia"/>
          <w:sz w:val="22"/>
        </w:rPr>
        <w:t>名</w:t>
      </w:r>
      <w:r w:rsidR="004C765B" w:rsidRPr="004B45AC">
        <w:rPr>
          <w:rFonts w:ascii="ＭＳ ゴシック" w:eastAsia="ＭＳ ゴシック" w:hAnsi="ＭＳ ゴシック" w:hint="eastAsia"/>
          <w:sz w:val="22"/>
        </w:rPr>
        <w:t>：</w:t>
      </w:r>
      <w:r w:rsidRPr="004B45AC">
        <w:rPr>
          <w:rFonts w:ascii="ＭＳ ゴシック" w:eastAsia="ＭＳ ゴシック" w:hAnsi="ＭＳ ゴシック" w:hint="eastAsia"/>
          <w:sz w:val="22"/>
        </w:rPr>
        <w:t>大阪府)</w:t>
      </w:r>
    </w:p>
    <w:tbl>
      <w:tblPr>
        <w:tblStyle w:val="a3"/>
        <w:tblW w:w="15026" w:type="dxa"/>
        <w:tblInd w:w="-34" w:type="dxa"/>
        <w:tblLook w:val="04A0" w:firstRow="1" w:lastRow="0" w:firstColumn="1" w:lastColumn="0" w:noHBand="0" w:noVBand="1"/>
      </w:tblPr>
      <w:tblGrid>
        <w:gridCol w:w="851"/>
        <w:gridCol w:w="851"/>
        <w:gridCol w:w="850"/>
        <w:gridCol w:w="851"/>
        <w:gridCol w:w="992"/>
        <w:gridCol w:w="1417"/>
        <w:gridCol w:w="1843"/>
        <w:gridCol w:w="992"/>
        <w:gridCol w:w="1973"/>
        <w:gridCol w:w="721"/>
        <w:gridCol w:w="1842"/>
        <w:gridCol w:w="1843"/>
      </w:tblGrid>
      <w:tr w:rsidR="004B45AC" w:rsidRPr="004B45AC" w:rsidTr="00CE21D0">
        <w:trPr>
          <w:trHeight w:val="474"/>
        </w:trPr>
        <w:tc>
          <w:tcPr>
            <w:tcW w:w="851" w:type="dxa"/>
            <w:vMerge w:val="restart"/>
          </w:tcPr>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市町村名</w:t>
            </w:r>
          </w:p>
        </w:tc>
        <w:tc>
          <w:tcPr>
            <w:tcW w:w="851" w:type="dxa"/>
            <w:vMerge w:val="restart"/>
          </w:tcPr>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事業実施主体名</w:t>
            </w:r>
          </w:p>
        </w:tc>
        <w:tc>
          <w:tcPr>
            <w:tcW w:w="850" w:type="dxa"/>
            <w:vMerge w:val="restart"/>
          </w:tcPr>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政策目的</w:t>
            </w:r>
          </w:p>
        </w:tc>
        <w:tc>
          <w:tcPr>
            <w:tcW w:w="851" w:type="dxa"/>
            <w:vMerge w:val="restart"/>
          </w:tcPr>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取組の</w:t>
            </w:r>
          </w:p>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分類</w:t>
            </w:r>
          </w:p>
        </w:tc>
        <w:tc>
          <w:tcPr>
            <w:tcW w:w="992" w:type="dxa"/>
            <w:vMerge w:val="restart"/>
          </w:tcPr>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作物等</w:t>
            </w:r>
          </w:p>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区分</w:t>
            </w:r>
          </w:p>
          <w:p w:rsidR="009046DB" w:rsidRPr="004B45AC" w:rsidRDefault="009046DB" w:rsidP="00702AB1">
            <w:pPr>
              <w:snapToGrid w:val="0"/>
              <w:ind w:leftChars="-50" w:left="-105"/>
              <w:jc w:val="left"/>
              <w:rPr>
                <w:rFonts w:ascii="ＭＳ ゴシック" w:eastAsia="ＭＳ ゴシック" w:hAnsi="ＭＳ ゴシック"/>
                <w:sz w:val="14"/>
                <w:szCs w:val="16"/>
              </w:rPr>
            </w:pPr>
          </w:p>
          <w:p w:rsidR="00CE21D0"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(対象作物・</w:t>
            </w:r>
          </w:p>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畜種等名)</w:t>
            </w:r>
          </w:p>
        </w:tc>
        <w:tc>
          <w:tcPr>
            <w:tcW w:w="1417" w:type="dxa"/>
            <w:vMerge w:val="restart"/>
          </w:tcPr>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政策目標</w:t>
            </w:r>
          </w:p>
        </w:tc>
        <w:tc>
          <w:tcPr>
            <w:tcW w:w="1843" w:type="dxa"/>
            <w:vMerge w:val="restart"/>
          </w:tcPr>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成果目標の具体的内容</w:t>
            </w:r>
          </w:p>
        </w:tc>
        <w:tc>
          <w:tcPr>
            <w:tcW w:w="992" w:type="dxa"/>
            <w:vMerge w:val="restart"/>
          </w:tcPr>
          <w:p w:rsidR="009046DB"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目標値(A)</w:t>
            </w:r>
          </w:p>
          <w:p w:rsidR="00766D4D" w:rsidRPr="004B45AC" w:rsidRDefault="00766D4D" w:rsidP="00702AB1">
            <w:pPr>
              <w:snapToGrid w:val="0"/>
              <w:ind w:leftChars="-50" w:left="-105"/>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(平成26年)</w:t>
            </w:r>
          </w:p>
        </w:tc>
        <w:tc>
          <w:tcPr>
            <w:tcW w:w="1973" w:type="dxa"/>
          </w:tcPr>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事業実施後(目標年度)</w:t>
            </w:r>
          </w:p>
        </w:tc>
        <w:tc>
          <w:tcPr>
            <w:tcW w:w="721" w:type="dxa"/>
            <w:vMerge w:val="restart"/>
          </w:tcPr>
          <w:p w:rsidR="005E1960"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目標</w:t>
            </w:r>
          </w:p>
          <w:p w:rsidR="005E1960"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達成</w:t>
            </w:r>
          </w:p>
          <w:p w:rsidR="005E1960"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状況</w:t>
            </w:r>
          </w:p>
          <w:p w:rsidR="00DD0B3E" w:rsidRDefault="009046DB" w:rsidP="00702AB1">
            <w:pPr>
              <w:snapToGrid w:val="0"/>
              <w:ind w:leftChars="-50" w:left="-105"/>
              <w:jc w:val="left"/>
              <w:rPr>
                <w:rFonts w:ascii="ＭＳ ゴシック" w:eastAsia="ＭＳ ゴシック" w:hAnsi="ＭＳ ゴシック"/>
                <w:sz w:val="12"/>
                <w:szCs w:val="16"/>
              </w:rPr>
            </w:pPr>
            <w:r w:rsidRPr="004B45AC">
              <w:rPr>
                <w:rFonts w:ascii="ＭＳ ゴシック" w:eastAsia="ＭＳ ゴシック" w:hAnsi="ＭＳ ゴシック" w:hint="eastAsia"/>
                <w:sz w:val="12"/>
                <w:szCs w:val="16"/>
              </w:rPr>
              <w:t>(B/A又は(B－基準値)/(A－</w:t>
            </w:r>
          </w:p>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2"/>
                <w:szCs w:val="16"/>
              </w:rPr>
              <w:t>基準値))</w:t>
            </w:r>
          </w:p>
        </w:tc>
        <w:tc>
          <w:tcPr>
            <w:tcW w:w="1842" w:type="dxa"/>
            <w:vMerge w:val="restart"/>
          </w:tcPr>
          <w:p w:rsidR="00CE21D0"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都道府県による改善指導</w:t>
            </w:r>
          </w:p>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の判断理由</w:t>
            </w:r>
          </w:p>
        </w:tc>
        <w:tc>
          <w:tcPr>
            <w:tcW w:w="1843" w:type="dxa"/>
            <w:vMerge w:val="restart"/>
          </w:tcPr>
          <w:p w:rsidR="00DD0B3E"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地方農政局等による改善</w:t>
            </w:r>
          </w:p>
          <w:p w:rsidR="009046DB" w:rsidRPr="004B45AC"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指導の判断理由</w:t>
            </w:r>
          </w:p>
        </w:tc>
      </w:tr>
      <w:tr w:rsidR="005E1960" w:rsidRPr="004B45AC" w:rsidTr="00CE21D0">
        <w:trPr>
          <w:trHeight w:val="1020"/>
        </w:trPr>
        <w:tc>
          <w:tcPr>
            <w:tcW w:w="851"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851"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850"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851"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992"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1417"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1843"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992"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1973" w:type="dxa"/>
          </w:tcPr>
          <w:p w:rsidR="009046DB" w:rsidRDefault="009046DB"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実績(B)</w:t>
            </w:r>
          </w:p>
          <w:p w:rsidR="00766D4D" w:rsidRPr="004B45AC" w:rsidRDefault="00766D4D" w:rsidP="00702AB1">
            <w:pPr>
              <w:snapToGrid w:val="0"/>
              <w:ind w:leftChars="-50" w:left="-105"/>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(平成26年)</w:t>
            </w:r>
          </w:p>
        </w:tc>
        <w:tc>
          <w:tcPr>
            <w:tcW w:w="721"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1842"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c>
          <w:tcPr>
            <w:tcW w:w="1843" w:type="dxa"/>
            <w:vMerge/>
          </w:tcPr>
          <w:p w:rsidR="009046DB" w:rsidRPr="004B45AC" w:rsidRDefault="009046DB" w:rsidP="00702AB1">
            <w:pPr>
              <w:snapToGrid w:val="0"/>
              <w:ind w:leftChars="-50" w:left="-105"/>
              <w:jc w:val="left"/>
              <w:rPr>
                <w:rFonts w:ascii="ＭＳ ゴシック" w:eastAsia="ＭＳ ゴシック" w:hAnsi="ＭＳ ゴシック"/>
                <w:sz w:val="14"/>
                <w:szCs w:val="16"/>
              </w:rPr>
            </w:pPr>
          </w:p>
        </w:tc>
      </w:tr>
      <w:tr w:rsidR="00CE21D0" w:rsidRPr="004B45AC" w:rsidTr="00CE21D0">
        <w:trPr>
          <w:trHeight w:val="1469"/>
        </w:trPr>
        <w:tc>
          <w:tcPr>
            <w:tcW w:w="851"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大阪市</w:t>
            </w:r>
          </w:p>
        </w:tc>
        <w:tc>
          <w:tcPr>
            <w:tcW w:w="851"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大阪市中央卸売市場東部市場</w:t>
            </w:r>
          </w:p>
        </w:tc>
        <w:tc>
          <w:tcPr>
            <w:tcW w:w="850"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食品流通の合理化</w:t>
            </w:r>
          </w:p>
        </w:tc>
        <w:tc>
          <w:tcPr>
            <w:tcW w:w="851"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中央卸売市場施設整備</w:t>
            </w:r>
          </w:p>
        </w:tc>
        <w:tc>
          <w:tcPr>
            <w:tcW w:w="992"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w:t>
            </w:r>
          </w:p>
        </w:tc>
        <w:tc>
          <w:tcPr>
            <w:tcW w:w="1417"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低温売場販売率が低温売場面積率の26.1ポイント以上超過(安全安心な市場流通のうち【物品鮮度の保持】)</w:t>
            </w:r>
          </w:p>
        </w:tc>
        <w:tc>
          <w:tcPr>
            <w:tcW w:w="1843" w:type="dxa"/>
          </w:tcPr>
          <w:p w:rsid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低温売場販売率が低温売場面積率を26.1ポイント以上超過。</w:t>
            </w:r>
          </w:p>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現行：53.3％</w:t>
            </w:r>
          </w:p>
        </w:tc>
        <w:tc>
          <w:tcPr>
            <w:tcW w:w="992"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低温売場販売率89.2％</w:t>
            </w:r>
          </w:p>
        </w:tc>
        <w:tc>
          <w:tcPr>
            <w:tcW w:w="1973"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低温売場販売率90.3％</w:t>
            </w:r>
          </w:p>
        </w:tc>
        <w:tc>
          <w:tcPr>
            <w:tcW w:w="721" w:type="dxa"/>
          </w:tcPr>
          <w:p w:rsidR="004C765B"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103.1％</w:t>
            </w:r>
          </w:p>
          <w:p w:rsidR="001B1960" w:rsidRPr="004B45AC" w:rsidRDefault="001B1960" w:rsidP="00702AB1">
            <w:pPr>
              <w:snapToGrid w:val="0"/>
              <w:ind w:leftChars="-50" w:left="-105"/>
              <w:jc w:val="left"/>
              <w:rPr>
                <w:rFonts w:ascii="ＭＳ ゴシック" w:eastAsia="ＭＳ ゴシック" w:hAnsi="ＭＳ ゴシック"/>
                <w:sz w:val="14"/>
                <w:szCs w:val="16"/>
              </w:rPr>
            </w:pPr>
          </w:p>
          <w:p w:rsidR="00F14E23"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※1</w:t>
            </w:r>
          </w:p>
        </w:tc>
        <w:tc>
          <w:tcPr>
            <w:tcW w:w="1842" w:type="dxa"/>
          </w:tcPr>
          <w:p w:rsidR="005A6AF3" w:rsidRPr="004B45AC" w:rsidRDefault="00F14E2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物品鮮度保持</w:t>
            </w:r>
            <w:r w:rsidR="005A6AF3" w:rsidRPr="004B45AC">
              <w:rPr>
                <w:rFonts w:ascii="ＭＳ ゴシック" w:eastAsia="ＭＳ ゴシック" w:hAnsi="ＭＳ ゴシック" w:hint="eastAsia"/>
                <w:sz w:val="14"/>
                <w:szCs w:val="16"/>
              </w:rPr>
              <w:t>のため水産卸売場の保冷機能設備拡張や</w:t>
            </w:r>
            <w:r w:rsidR="004B45AC">
              <w:rPr>
                <w:rFonts w:ascii="ＭＳ ゴシック" w:eastAsia="ＭＳ ゴシック" w:hAnsi="ＭＳ ゴシック" w:hint="eastAsia"/>
                <w:sz w:val="14"/>
                <w:szCs w:val="16"/>
              </w:rPr>
              <w:t>青果</w:t>
            </w:r>
            <w:r w:rsidR="005A6AF3" w:rsidRPr="004B45AC">
              <w:rPr>
                <w:rFonts w:ascii="ＭＳ ゴシック" w:eastAsia="ＭＳ ゴシック" w:hAnsi="ＭＳ ゴシック" w:hint="eastAsia"/>
                <w:sz w:val="14"/>
                <w:szCs w:val="16"/>
              </w:rPr>
              <w:t>卸売場の階高、柱間隔の拡張による物流の効率化に取組み、水産物取扱高に占める低温卸売場での販売率を増加させており評価できる。</w:t>
            </w:r>
          </w:p>
        </w:tc>
        <w:tc>
          <w:tcPr>
            <w:tcW w:w="1843" w:type="dxa"/>
          </w:tcPr>
          <w:p w:rsidR="004C765B" w:rsidRPr="004B45AC" w:rsidRDefault="005A6AF3"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成果目標を達成しているため、改善指導は必要なし。</w:t>
            </w:r>
          </w:p>
        </w:tc>
      </w:tr>
      <w:tr w:rsidR="00702AB1" w:rsidRPr="004B45AC" w:rsidTr="00CE21D0">
        <w:trPr>
          <w:trHeight w:val="2160"/>
        </w:trPr>
        <w:tc>
          <w:tcPr>
            <w:tcW w:w="851" w:type="dxa"/>
            <w:vMerge w:val="restart"/>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大阪市</w:t>
            </w:r>
          </w:p>
        </w:tc>
        <w:tc>
          <w:tcPr>
            <w:tcW w:w="851" w:type="dxa"/>
            <w:vMerge w:val="restart"/>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大阪市中央卸売市場南港市場</w:t>
            </w:r>
          </w:p>
        </w:tc>
        <w:tc>
          <w:tcPr>
            <w:tcW w:w="850" w:type="dxa"/>
            <w:vMerge w:val="restart"/>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食品流通の合理化</w:t>
            </w:r>
          </w:p>
        </w:tc>
        <w:tc>
          <w:tcPr>
            <w:tcW w:w="851" w:type="dxa"/>
            <w:vMerge w:val="restart"/>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中央卸売市場施設整備</w:t>
            </w:r>
          </w:p>
        </w:tc>
        <w:tc>
          <w:tcPr>
            <w:tcW w:w="992" w:type="dxa"/>
            <w:vMerge w:val="restart"/>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w:t>
            </w:r>
          </w:p>
        </w:tc>
        <w:tc>
          <w:tcPr>
            <w:tcW w:w="1417"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卸売市場品質管理マニュアルに基づく規範の策定及び実施(安全安心な市場流通【品質管理の高度化】)</w:t>
            </w:r>
          </w:p>
        </w:tc>
        <w:tc>
          <w:tcPr>
            <w:tcW w:w="1843"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卸売市場品質管理マニュアルに基づく規範の策定及び実施。</w:t>
            </w:r>
          </w:p>
        </w:tc>
        <w:tc>
          <w:tcPr>
            <w:tcW w:w="992"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卸売業者及び</w:t>
            </w:r>
            <w:r w:rsidR="004B45AC">
              <w:rPr>
                <w:rFonts w:ascii="ＭＳ ゴシック" w:eastAsia="ＭＳ ゴシック" w:hAnsi="ＭＳ ゴシック" w:hint="eastAsia"/>
                <w:sz w:val="14"/>
                <w:szCs w:val="16"/>
              </w:rPr>
              <w:t>仲卸</w:t>
            </w:r>
            <w:r w:rsidRPr="004B45AC">
              <w:rPr>
                <w:rFonts w:ascii="ＭＳ ゴシック" w:eastAsia="ＭＳ ゴシック" w:hAnsi="ＭＳ ゴシック" w:hint="eastAsia"/>
                <w:sz w:val="14"/>
                <w:szCs w:val="16"/>
              </w:rPr>
              <w:t>業者が取り組む品質管理についての規範(策定及び実施)</w:t>
            </w:r>
          </w:p>
        </w:tc>
        <w:tc>
          <w:tcPr>
            <w:tcW w:w="1973"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卸売業者及</w:t>
            </w:r>
            <w:r w:rsidR="004B45AC">
              <w:rPr>
                <w:rFonts w:ascii="ＭＳ ゴシック" w:eastAsia="ＭＳ ゴシック" w:hAnsi="ＭＳ ゴシック" w:hint="eastAsia"/>
                <w:sz w:val="14"/>
                <w:szCs w:val="16"/>
              </w:rPr>
              <w:t>仲卸</w:t>
            </w:r>
            <w:r w:rsidRPr="004B45AC">
              <w:rPr>
                <w:rFonts w:ascii="ＭＳ ゴシック" w:eastAsia="ＭＳ ゴシック" w:hAnsi="ＭＳ ゴシック" w:hint="eastAsia"/>
                <w:sz w:val="14"/>
                <w:szCs w:val="16"/>
              </w:rPr>
              <w:t>業者が取り組む品質管理についての規範(策定及び実施)</w:t>
            </w:r>
          </w:p>
        </w:tc>
        <w:tc>
          <w:tcPr>
            <w:tcW w:w="721"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100％</w:t>
            </w:r>
          </w:p>
        </w:tc>
        <w:tc>
          <w:tcPr>
            <w:tcW w:w="1842" w:type="dxa"/>
            <w:vMerge w:val="restart"/>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品質管理の徹底を図るため、食肉処理時に排出される副産物処理に係る処理手順、処理方法等のマニュアルを卸売市場品質管理高度化マニュアルに基づき策定するとともに、副産物処理設備整備の改良(設備更新)により、処理能力が向上し、目標を上回る作業時間の短縮が図られており評価できる。</w:t>
            </w:r>
          </w:p>
        </w:tc>
        <w:tc>
          <w:tcPr>
            <w:tcW w:w="1843" w:type="dxa"/>
            <w:vMerge w:val="restart"/>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成果目標を達成しているため、改善指導は必要なし。</w:t>
            </w:r>
          </w:p>
        </w:tc>
      </w:tr>
      <w:tr w:rsidR="00702AB1" w:rsidRPr="004B45AC" w:rsidTr="00DD0B3E">
        <w:trPr>
          <w:trHeight w:val="2248"/>
        </w:trPr>
        <w:tc>
          <w:tcPr>
            <w:tcW w:w="851" w:type="dxa"/>
            <w:vMerge/>
          </w:tcPr>
          <w:p w:rsidR="001B1960" w:rsidRPr="004B45AC" w:rsidRDefault="001B1960" w:rsidP="00702AB1">
            <w:pPr>
              <w:snapToGrid w:val="0"/>
              <w:ind w:leftChars="-50" w:left="-105"/>
              <w:jc w:val="left"/>
              <w:rPr>
                <w:rFonts w:ascii="ＭＳ ゴシック" w:eastAsia="ＭＳ ゴシック" w:hAnsi="ＭＳ ゴシック"/>
                <w:sz w:val="12"/>
                <w:szCs w:val="16"/>
              </w:rPr>
            </w:pPr>
          </w:p>
        </w:tc>
        <w:tc>
          <w:tcPr>
            <w:tcW w:w="851" w:type="dxa"/>
            <w:vMerge/>
          </w:tcPr>
          <w:p w:rsidR="001B1960" w:rsidRPr="004B45AC" w:rsidRDefault="001B1960" w:rsidP="00702AB1">
            <w:pPr>
              <w:snapToGrid w:val="0"/>
              <w:ind w:leftChars="-50" w:left="-105"/>
              <w:jc w:val="left"/>
              <w:rPr>
                <w:rFonts w:ascii="ＭＳ ゴシック" w:eastAsia="ＭＳ ゴシック" w:hAnsi="ＭＳ ゴシック"/>
                <w:sz w:val="12"/>
                <w:szCs w:val="16"/>
              </w:rPr>
            </w:pPr>
          </w:p>
        </w:tc>
        <w:tc>
          <w:tcPr>
            <w:tcW w:w="850" w:type="dxa"/>
            <w:vMerge/>
          </w:tcPr>
          <w:p w:rsidR="001B1960" w:rsidRPr="004B45AC" w:rsidRDefault="001B1960" w:rsidP="00702AB1">
            <w:pPr>
              <w:snapToGrid w:val="0"/>
              <w:ind w:leftChars="-50" w:left="-105"/>
              <w:jc w:val="left"/>
              <w:rPr>
                <w:rFonts w:ascii="ＭＳ ゴシック" w:eastAsia="ＭＳ ゴシック" w:hAnsi="ＭＳ ゴシック"/>
                <w:sz w:val="12"/>
                <w:szCs w:val="16"/>
              </w:rPr>
            </w:pPr>
          </w:p>
        </w:tc>
        <w:tc>
          <w:tcPr>
            <w:tcW w:w="851" w:type="dxa"/>
            <w:vMerge/>
          </w:tcPr>
          <w:p w:rsidR="001B1960" w:rsidRPr="004B45AC" w:rsidRDefault="001B1960" w:rsidP="00702AB1">
            <w:pPr>
              <w:snapToGrid w:val="0"/>
              <w:ind w:leftChars="-50" w:left="-105"/>
              <w:jc w:val="left"/>
              <w:rPr>
                <w:rFonts w:ascii="ＭＳ ゴシック" w:eastAsia="ＭＳ ゴシック" w:hAnsi="ＭＳ ゴシック"/>
                <w:sz w:val="12"/>
                <w:szCs w:val="16"/>
              </w:rPr>
            </w:pPr>
          </w:p>
        </w:tc>
        <w:tc>
          <w:tcPr>
            <w:tcW w:w="992" w:type="dxa"/>
            <w:vMerge/>
          </w:tcPr>
          <w:p w:rsidR="001B1960" w:rsidRPr="004B45AC" w:rsidRDefault="001B1960" w:rsidP="00702AB1">
            <w:pPr>
              <w:snapToGrid w:val="0"/>
              <w:ind w:leftChars="-50" w:left="-105"/>
              <w:jc w:val="left"/>
              <w:rPr>
                <w:rFonts w:ascii="ＭＳ ゴシック" w:eastAsia="ＭＳ ゴシック" w:hAnsi="ＭＳ ゴシック"/>
                <w:sz w:val="12"/>
                <w:szCs w:val="16"/>
              </w:rPr>
            </w:pPr>
          </w:p>
        </w:tc>
        <w:tc>
          <w:tcPr>
            <w:tcW w:w="1417"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単位重量当たり作業時間の短縮(効率的な市場流通のうち【物流の迅速化】)</w:t>
            </w:r>
          </w:p>
        </w:tc>
        <w:tc>
          <w:tcPr>
            <w:tcW w:w="1843" w:type="dxa"/>
          </w:tcPr>
          <w:p w:rsid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単位重量当たり作業時間を26.6％以上短縮。</w:t>
            </w:r>
          </w:p>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現行：15ｈ</w:t>
            </w:r>
          </w:p>
        </w:tc>
        <w:tc>
          <w:tcPr>
            <w:tcW w:w="992"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食用油脂処理作業時間</w:t>
            </w:r>
            <w:r w:rsidR="004B45AC">
              <w:rPr>
                <w:rFonts w:ascii="ＭＳ ゴシック" w:eastAsia="ＭＳ ゴシック" w:hAnsi="ＭＳ ゴシック" w:hint="eastAsia"/>
                <w:sz w:val="14"/>
                <w:szCs w:val="16"/>
              </w:rPr>
              <w:t>1</w:t>
            </w:r>
            <w:r w:rsidRPr="004B45AC">
              <w:rPr>
                <w:rFonts w:ascii="ＭＳ ゴシック" w:eastAsia="ＭＳ ゴシック" w:hAnsi="ＭＳ ゴシック" w:hint="eastAsia"/>
                <w:sz w:val="14"/>
                <w:szCs w:val="16"/>
              </w:rPr>
              <w:t>1ｈ</w:t>
            </w:r>
          </w:p>
        </w:tc>
        <w:tc>
          <w:tcPr>
            <w:tcW w:w="1973"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食用油脂処理作業時間9.3</w:t>
            </w:r>
          </w:p>
        </w:tc>
        <w:tc>
          <w:tcPr>
            <w:tcW w:w="721" w:type="dxa"/>
          </w:tcPr>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142.5％</w:t>
            </w:r>
          </w:p>
          <w:p w:rsidR="001B1960" w:rsidRPr="004B45AC" w:rsidRDefault="001B1960" w:rsidP="00702AB1">
            <w:pPr>
              <w:snapToGrid w:val="0"/>
              <w:ind w:leftChars="-50" w:left="-105"/>
              <w:jc w:val="left"/>
              <w:rPr>
                <w:rFonts w:ascii="ＭＳ ゴシック" w:eastAsia="ＭＳ ゴシック" w:hAnsi="ＭＳ ゴシック"/>
                <w:sz w:val="14"/>
                <w:szCs w:val="16"/>
              </w:rPr>
            </w:pPr>
          </w:p>
          <w:p w:rsidR="001B1960" w:rsidRPr="004B45AC" w:rsidRDefault="001B1960" w:rsidP="00702AB1">
            <w:pPr>
              <w:snapToGrid w:val="0"/>
              <w:ind w:leftChars="-50" w:left="-105"/>
              <w:jc w:val="left"/>
              <w:rPr>
                <w:rFonts w:ascii="ＭＳ ゴシック" w:eastAsia="ＭＳ ゴシック" w:hAnsi="ＭＳ ゴシック"/>
                <w:sz w:val="14"/>
                <w:szCs w:val="16"/>
              </w:rPr>
            </w:pPr>
            <w:r w:rsidRPr="004B45AC">
              <w:rPr>
                <w:rFonts w:ascii="ＭＳ ゴシック" w:eastAsia="ＭＳ ゴシック" w:hAnsi="ＭＳ ゴシック" w:hint="eastAsia"/>
                <w:sz w:val="14"/>
                <w:szCs w:val="16"/>
              </w:rPr>
              <w:t>※1</w:t>
            </w:r>
          </w:p>
        </w:tc>
        <w:tc>
          <w:tcPr>
            <w:tcW w:w="1842" w:type="dxa"/>
            <w:vMerge/>
          </w:tcPr>
          <w:p w:rsidR="001B1960" w:rsidRPr="004B45AC" w:rsidRDefault="001B1960" w:rsidP="00702AB1">
            <w:pPr>
              <w:snapToGrid w:val="0"/>
              <w:ind w:leftChars="-50" w:left="-105"/>
              <w:jc w:val="left"/>
              <w:rPr>
                <w:rFonts w:ascii="ＭＳ ゴシック" w:eastAsia="ＭＳ ゴシック" w:hAnsi="ＭＳ ゴシック"/>
                <w:sz w:val="14"/>
                <w:szCs w:val="16"/>
              </w:rPr>
            </w:pPr>
          </w:p>
        </w:tc>
        <w:tc>
          <w:tcPr>
            <w:tcW w:w="1843" w:type="dxa"/>
            <w:vMerge/>
          </w:tcPr>
          <w:p w:rsidR="001B1960" w:rsidRPr="004B45AC" w:rsidRDefault="001B1960" w:rsidP="00702AB1">
            <w:pPr>
              <w:snapToGrid w:val="0"/>
              <w:ind w:leftChars="-50" w:left="-105"/>
              <w:jc w:val="left"/>
              <w:rPr>
                <w:rFonts w:ascii="ＭＳ ゴシック" w:eastAsia="ＭＳ ゴシック" w:hAnsi="ＭＳ ゴシック"/>
                <w:sz w:val="14"/>
                <w:szCs w:val="16"/>
              </w:rPr>
            </w:pPr>
          </w:p>
        </w:tc>
      </w:tr>
    </w:tbl>
    <w:p w:rsidR="004C765B" w:rsidRPr="004B45AC" w:rsidRDefault="001B1960" w:rsidP="009046DB">
      <w:pPr>
        <w:snapToGrid w:val="0"/>
        <w:jc w:val="left"/>
        <w:rPr>
          <w:rFonts w:ascii="ＭＳ ゴシック" w:eastAsia="ＭＳ ゴシック" w:hAnsi="ＭＳ ゴシック"/>
          <w:sz w:val="22"/>
        </w:rPr>
      </w:pPr>
      <w:r w:rsidRPr="004B45AC">
        <w:rPr>
          <w:rFonts w:ascii="ＭＳ ゴシック" w:eastAsia="ＭＳ ゴシック" w:hAnsi="ＭＳ ゴシック" w:hint="eastAsia"/>
          <w:sz w:val="22"/>
        </w:rPr>
        <w:t xml:space="preserve">　　　　　　　　　　　　　　　　　　　　　　　　　　　　　　　　　　　　　　　　</w:t>
      </w:r>
    </w:p>
    <w:p w:rsidR="001B1960" w:rsidRPr="004B45AC" w:rsidRDefault="001B1960" w:rsidP="009046DB">
      <w:pPr>
        <w:snapToGrid w:val="0"/>
        <w:jc w:val="left"/>
        <w:rPr>
          <w:rFonts w:ascii="ＭＳ ゴシック" w:eastAsia="ＭＳ ゴシック" w:hAnsi="ＭＳ ゴシック"/>
          <w:sz w:val="22"/>
        </w:rPr>
      </w:pPr>
      <w:r w:rsidRPr="004B45AC">
        <w:rPr>
          <w:rFonts w:ascii="ＭＳ ゴシック" w:eastAsia="ＭＳ ゴシック" w:hAnsi="ＭＳ ゴシック" w:hint="eastAsia"/>
          <w:sz w:val="22"/>
        </w:rPr>
        <w:t xml:space="preserve">　　　　　　　　　　　　　　　　　　　　　　　　　　　　　　　　　　　　　　　</w:t>
      </w:r>
      <w:r w:rsidRPr="004B45AC">
        <w:rPr>
          <w:rFonts w:ascii="ＭＳ ゴシック" w:eastAsia="ＭＳ ゴシック" w:hAnsi="ＭＳ ゴシック" w:hint="eastAsia"/>
          <w:sz w:val="16"/>
        </w:rPr>
        <w:t xml:space="preserve">　※1　(B－現行値(又は基準値))/(A－現行値(又は基準値)</w:t>
      </w:r>
      <w:r w:rsidR="005E1960" w:rsidRPr="004B45AC">
        <w:rPr>
          <w:rFonts w:ascii="ＭＳ ゴシック" w:eastAsia="ＭＳ ゴシック" w:hAnsi="ＭＳ ゴシック" w:hint="eastAsia"/>
          <w:sz w:val="16"/>
        </w:rPr>
        <w:t>)</w:t>
      </w:r>
    </w:p>
    <w:sectPr w:rsidR="001B1960" w:rsidRPr="004B45AC" w:rsidSect="00CE21D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2C" w:rsidRDefault="00A51A2C" w:rsidP="005A7BA3">
      <w:r>
        <w:separator/>
      </w:r>
    </w:p>
  </w:endnote>
  <w:endnote w:type="continuationSeparator" w:id="0">
    <w:p w:rsidR="00A51A2C" w:rsidRDefault="00A51A2C" w:rsidP="005A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A3" w:rsidRDefault="005A7BA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A3" w:rsidRDefault="005A7BA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A3" w:rsidRDefault="005A7B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2C" w:rsidRDefault="00A51A2C" w:rsidP="005A7BA3">
      <w:r>
        <w:separator/>
      </w:r>
    </w:p>
  </w:footnote>
  <w:footnote w:type="continuationSeparator" w:id="0">
    <w:p w:rsidR="00A51A2C" w:rsidRDefault="00A51A2C" w:rsidP="005A7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A3" w:rsidRDefault="005A7B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A3" w:rsidRDefault="005A7BA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A3" w:rsidRDefault="005A7B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5B"/>
    <w:rsid w:val="000B7454"/>
    <w:rsid w:val="001B1960"/>
    <w:rsid w:val="0020166C"/>
    <w:rsid w:val="004B45AC"/>
    <w:rsid w:val="004C765B"/>
    <w:rsid w:val="005A6AF3"/>
    <w:rsid w:val="005A7BA3"/>
    <w:rsid w:val="005E1960"/>
    <w:rsid w:val="00640CD5"/>
    <w:rsid w:val="00702AB1"/>
    <w:rsid w:val="00766D4D"/>
    <w:rsid w:val="00840251"/>
    <w:rsid w:val="009046DB"/>
    <w:rsid w:val="00A51A2C"/>
    <w:rsid w:val="00A71729"/>
    <w:rsid w:val="00AB6975"/>
    <w:rsid w:val="00B13748"/>
    <w:rsid w:val="00CE21D0"/>
    <w:rsid w:val="00DD0B3E"/>
    <w:rsid w:val="00E014E3"/>
    <w:rsid w:val="00F1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7BA3"/>
    <w:pPr>
      <w:tabs>
        <w:tab w:val="center" w:pos="4252"/>
        <w:tab w:val="right" w:pos="8504"/>
      </w:tabs>
      <w:snapToGrid w:val="0"/>
    </w:pPr>
  </w:style>
  <w:style w:type="character" w:customStyle="1" w:styleId="a5">
    <w:name w:val="ヘッダー (文字)"/>
    <w:basedOn w:val="a0"/>
    <w:link w:val="a4"/>
    <w:uiPriority w:val="99"/>
    <w:rsid w:val="005A7BA3"/>
  </w:style>
  <w:style w:type="paragraph" w:styleId="a6">
    <w:name w:val="footer"/>
    <w:basedOn w:val="a"/>
    <w:link w:val="a7"/>
    <w:uiPriority w:val="99"/>
    <w:unhideWhenUsed/>
    <w:rsid w:val="005A7BA3"/>
    <w:pPr>
      <w:tabs>
        <w:tab w:val="center" w:pos="4252"/>
        <w:tab w:val="right" w:pos="8504"/>
      </w:tabs>
      <w:snapToGrid w:val="0"/>
    </w:pPr>
  </w:style>
  <w:style w:type="character" w:customStyle="1" w:styleId="a7">
    <w:name w:val="フッター (文字)"/>
    <w:basedOn w:val="a0"/>
    <w:link w:val="a6"/>
    <w:uiPriority w:val="99"/>
    <w:rsid w:val="005A7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7BA3"/>
    <w:pPr>
      <w:tabs>
        <w:tab w:val="center" w:pos="4252"/>
        <w:tab w:val="right" w:pos="8504"/>
      </w:tabs>
      <w:snapToGrid w:val="0"/>
    </w:pPr>
  </w:style>
  <w:style w:type="character" w:customStyle="1" w:styleId="a5">
    <w:name w:val="ヘッダー (文字)"/>
    <w:basedOn w:val="a0"/>
    <w:link w:val="a4"/>
    <w:uiPriority w:val="99"/>
    <w:rsid w:val="005A7BA3"/>
  </w:style>
  <w:style w:type="paragraph" w:styleId="a6">
    <w:name w:val="footer"/>
    <w:basedOn w:val="a"/>
    <w:link w:val="a7"/>
    <w:uiPriority w:val="99"/>
    <w:unhideWhenUsed/>
    <w:rsid w:val="005A7BA3"/>
    <w:pPr>
      <w:tabs>
        <w:tab w:val="center" w:pos="4252"/>
        <w:tab w:val="right" w:pos="8504"/>
      </w:tabs>
      <w:snapToGrid w:val="0"/>
    </w:pPr>
  </w:style>
  <w:style w:type="character" w:customStyle="1" w:styleId="a7">
    <w:name w:val="フッター (文字)"/>
    <w:basedOn w:val="a0"/>
    <w:link w:val="a6"/>
    <w:uiPriority w:val="99"/>
    <w:rsid w:val="005A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2016-08-18T09:37:00Z</dcterms:created>
  <dcterms:modified xsi:type="dcterms:W3CDTF">2016-08-18T09:37:00Z</dcterms:modified>
</cp:coreProperties>
</file>