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DD1AE" w14:textId="77777777" w:rsidR="009927AC" w:rsidRPr="0040061D" w:rsidRDefault="00E879E9" w:rsidP="00761075">
      <w:pPr>
        <w:ind w:left="480" w:hangingChars="200" w:hanging="480"/>
        <w:jc w:val="center"/>
        <w:rPr>
          <w:rFonts w:ascii="ＭＳ 明朝" w:hAnsi="ＭＳ 明朝"/>
          <w:b/>
          <w:color w:val="000000" w:themeColor="text1"/>
          <w:sz w:val="24"/>
        </w:rPr>
      </w:pPr>
      <w:bookmarkStart w:id="0" w:name="_Hlk164159386"/>
      <w:r w:rsidRPr="0040061D">
        <w:rPr>
          <w:rFonts w:ascii="ＭＳ 明朝" w:hAnsi="ＭＳ 明朝" w:hint="eastAsia"/>
          <w:b/>
          <w:color w:val="000000" w:themeColor="text1"/>
          <w:sz w:val="24"/>
        </w:rPr>
        <w:t>宅地建物取引業の免許に係る審査基準</w:t>
      </w:r>
    </w:p>
    <w:p w14:paraId="30C1D5DB" w14:textId="77777777" w:rsidR="009927AC" w:rsidRPr="0040061D" w:rsidRDefault="009927AC" w:rsidP="00761075">
      <w:pPr>
        <w:ind w:left="478" w:hangingChars="200" w:hanging="478"/>
        <w:rPr>
          <w:rFonts w:ascii="ＭＳ 明朝" w:hAnsi="ＭＳ 明朝"/>
          <w:color w:val="000000" w:themeColor="text1"/>
          <w:sz w:val="24"/>
        </w:rPr>
      </w:pPr>
    </w:p>
    <w:p w14:paraId="1735FDA4" w14:textId="77777777" w:rsidR="009927AC" w:rsidRPr="0040061D" w:rsidRDefault="009927AC" w:rsidP="00A65E44">
      <w:pPr>
        <w:jc w:val="right"/>
        <w:rPr>
          <w:rFonts w:ascii="ＭＳ 明朝" w:hAnsi="ＭＳ 明朝"/>
          <w:b/>
          <w:color w:val="000000" w:themeColor="text1"/>
          <w:szCs w:val="21"/>
        </w:rPr>
      </w:pPr>
      <w:r w:rsidRPr="0040061D">
        <w:rPr>
          <w:rFonts w:ascii="ＭＳ 明朝" w:hAnsi="ＭＳ 明朝" w:hint="eastAsia"/>
          <w:b/>
          <w:color w:val="000000" w:themeColor="text1"/>
          <w:szCs w:val="21"/>
        </w:rPr>
        <w:t>大阪府</w:t>
      </w:r>
      <w:r w:rsidR="00D515F3" w:rsidRPr="0040061D">
        <w:rPr>
          <w:rFonts w:ascii="ＭＳ 明朝" w:hAnsi="ＭＳ 明朝" w:hint="eastAsia"/>
          <w:b/>
          <w:color w:val="000000" w:themeColor="text1"/>
          <w:szCs w:val="21"/>
        </w:rPr>
        <w:t>都市整備部住宅建築局建築指導室</w:t>
      </w:r>
      <w:r w:rsidR="00A65E44" w:rsidRPr="0040061D">
        <w:rPr>
          <w:rFonts w:ascii="ＭＳ 明朝" w:hAnsi="ＭＳ 明朝" w:hint="eastAsia"/>
          <w:b/>
          <w:color w:val="000000" w:themeColor="text1"/>
          <w:szCs w:val="21"/>
        </w:rPr>
        <w:t>建築振興課</w:t>
      </w:r>
    </w:p>
    <w:p w14:paraId="0D503035" w14:textId="77777777" w:rsidR="009927AC" w:rsidRPr="0040061D" w:rsidRDefault="009927AC" w:rsidP="009927AC">
      <w:pPr>
        <w:rPr>
          <w:rFonts w:ascii="ＭＳ 明朝" w:hAnsi="ＭＳ 明朝"/>
          <w:color w:val="000000" w:themeColor="text1"/>
          <w:sz w:val="22"/>
          <w:szCs w:val="22"/>
        </w:rPr>
      </w:pPr>
    </w:p>
    <w:p w14:paraId="58561A7F" w14:textId="026CA8B8" w:rsidR="009927AC" w:rsidRPr="0040061D" w:rsidRDefault="009927AC" w:rsidP="00761075">
      <w:pPr>
        <w:ind w:firstLineChars="100" w:firstLine="219"/>
        <w:rPr>
          <w:rFonts w:ascii="ＭＳ 明朝" w:hAnsi="ＭＳ 明朝"/>
          <w:color w:val="000000" w:themeColor="text1"/>
          <w:sz w:val="22"/>
          <w:szCs w:val="22"/>
        </w:rPr>
      </w:pPr>
      <w:r w:rsidRPr="0040061D">
        <w:rPr>
          <w:rFonts w:ascii="ＭＳ 明朝" w:hAnsi="ＭＳ 明朝" w:hint="eastAsia"/>
          <w:color w:val="000000" w:themeColor="text1"/>
          <w:sz w:val="22"/>
          <w:szCs w:val="22"/>
        </w:rPr>
        <w:t>宅地建物取引業法（昭和27年法律第176号。以下「法」という。）第３条第１項の規定により知事が法第２条第２号に定める宅地建物取引業（以下単に「宅地建物取引業」という。）の免許（</w:t>
      </w:r>
      <w:r w:rsidR="00B37638" w:rsidRPr="0040061D">
        <w:rPr>
          <w:rFonts w:ascii="ＭＳ 明朝" w:hAnsi="ＭＳ 明朝" w:hint="eastAsia"/>
          <w:color w:val="000000" w:themeColor="text1"/>
          <w:sz w:val="22"/>
          <w:szCs w:val="22"/>
        </w:rPr>
        <w:t>法第３条</w:t>
      </w:r>
      <w:r w:rsidRPr="0040061D">
        <w:rPr>
          <w:rFonts w:ascii="ＭＳ 明朝" w:hAnsi="ＭＳ 明朝" w:hint="eastAsia"/>
          <w:color w:val="000000" w:themeColor="text1"/>
          <w:sz w:val="22"/>
          <w:szCs w:val="22"/>
        </w:rPr>
        <w:t>第３項の免許の更新を含む。）を行う際の審査基準は、法</w:t>
      </w:r>
      <w:r w:rsidR="009E3948" w:rsidRPr="0040061D">
        <w:rPr>
          <w:rFonts w:ascii="ＭＳ 明朝" w:hAnsi="ＭＳ 明朝" w:hint="eastAsia"/>
          <w:color w:val="000000" w:themeColor="text1"/>
          <w:sz w:val="22"/>
          <w:szCs w:val="22"/>
        </w:rPr>
        <w:t>令</w:t>
      </w:r>
      <w:r w:rsidRPr="0040061D">
        <w:rPr>
          <w:rFonts w:ascii="ＭＳ 明朝" w:hAnsi="ＭＳ 明朝" w:hint="eastAsia"/>
          <w:color w:val="000000" w:themeColor="text1"/>
          <w:sz w:val="22"/>
          <w:szCs w:val="22"/>
        </w:rPr>
        <w:t>に定めるもののほか、次のとおりとする。</w:t>
      </w:r>
    </w:p>
    <w:p w14:paraId="7A4371A5" w14:textId="77777777" w:rsidR="009927AC" w:rsidRPr="0040061D" w:rsidRDefault="009927AC" w:rsidP="00761075">
      <w:pPr>
        <w:ind w:left="440" w:hangingChars="200" w:hanging="440"/>
        <w:rPr>
          <w:rFonts w:ascii="ＭＳ 明朝" w:hAnsi="ＭＳ 明朝"/>
          <w:b/>
          <w:color w:val="000000" w:themeColor="text1"/>
          <w:sz w:val="22"/>
          <w:szCs w:val="22"/>
        </w:rPr>
      </w:pPr>
    </w:p>
    <w:p w14:paraId="086BBC48" w14:textId="77777777" w:rsidR="009927AC" w:rsidRPr="0040061D" w:rsidRDefault="009927AC" w:rsidP="00761075">
      <w:pPr>
        <w:ind w:left="440" w:hangingChars="200" w:hanging="440"/>
        <w:rPr>
          <w:rFonts w:ascii="ＭＳ 明朝" w:hAnsi="ＭＳ 明朝"/>
          <w:b/>
          <w:color w:val="000000" w:themeColor="text1"/>
          <w:sz w:val="22"/>
          <w:szCs w:val="22"/>
        </w:rPr>
      </w:pPr>
      <w:r w:rsidRPr="0040061D">
        <w:rPr>
          <w:rFonts w:ascii="ＭＳ 明朝" w:hAnsi="ＭＳ 明朝" w:hint="eastAsia"/>
          <w:b/>
          <w:color w:val="000000" w:themeColor="text1"/>
          <w:sz w:val="22"/>
          <w:szCs w:val="22"/>
        </w:rPr>
        <w:t>（事務所）</w:t>
      </w:r>
    </w:p>
    <w:p w14:paraId="2822DB04" w14:textId="77777777" w:rsidR="009927AC" w:rsidRPr="0040061D" w:rsidRDefault="009927AC" w:rsidP="00761075">
      <w:pPr>
        <w:ind w:left="220" w:hangingChars="100" w:hanging="220"/>
        <w:rPr>
          <w:rFonts w:ascii="ＭＳ 明朝" w:hAnsi="ＭＳ 明朝"/>
          <w:color w:val="000000" w:themeColor="text1"/>
          <w:sz w:val="22"/>
          <w:szCs w:val="22"/>
        </w:rPr>
      </w:pPr>
      <w:r w:rsidRPr="0040061D">
        <w:rPr>
          <w:rFonts w:ascii="ＭＳ 明朝" w:hAnsi="ＭＳ 明朝" w:hint="eastAsia"/>
          <w:b/>
          <w:color w:val="000000" w:themeColor="text1"/>
          <w:sz w:val="22"/>
          <w:szCs w:val="22"/>
        </w:rPr>
        <w:t xml:space="preserve">第１　</w:t>
      </w:r>
      <w:r w:rsidRPr="0040061D">
        <w:rPr>
          <w:rFonts w:ascii="ＭＳ 明朝" w:hAnsi="ＭＳ 明朝" w:hint="eastAsia"/>
          <w:color w:val="000000" w:themeColor="text1"/>
          <w:sz w:val="22"/>
          <w:szCs w:val="22"/>
        </w:rPr>
        <w:t>法第３条第１項に規定する事務所は、宅地建物取引業法施行令（昭和39年政令第383号）第１条の２各号に定めるものであり、かつ、社会通念上事務所として認識される程度の独立した形態を備えなければならない。</w:t>
      </w:r>
    </w:p>
    <w:p w14:paraId="5C38FF85" w14:textId="77777777" w:rsidR="009927AC" w:rsidRPr="0040061D" w:rsidRDefault="009927AC" w:rsidP="00761075">
      <w:pPr>
        <w:ind w:left="657" w:hangingChars="300" w:hanging="657"/>
        <w:rPr>
          <w:rFonts w:ascii="ＭＳ 明朝" w:hAnsi="ＭＳ 明朝"/>
          <w:color w:val="000000" w:themeColor="text1"/>
          <w:sz w:val="22"/>
          <w:szCs w:val="22"/>
        </w:rPr>
      </w:pPr>
      <w:r w:rsidRPr="0040061D">
        <w:rPr>
          <w:rFonts w:ascii="ＭＳ 明朝" w:hAnsi="ＭＳ 明朝" w:hint="eastAsia"/>
          <w:color w:val="000000" w:themeColor="text1"/>
          <w:sz w:val="22"/>
          <w:szCs w:val="22"/>
        </w:rPr>
        <w:t>（注１）テント張りの施設やホテルの室を事務所として使用する場合又は１の室を他の者と共同して使用する場合は、この基準に適合したものとは認められない。</w:t>
      </w:r>
    </w:p>
    <w:p w14:paraId="11AF6DB5" w14:textId="77777777" w:rsidR="009927AC" w:rsidRPr="0040061D" w:rsidRDefault="009927AC" w:rsidP="00761075">
      <w:pPr>
        <w:ind w:firstLineChars="400" w:firstLine="876"/>
        <w:rPr>
          <w:rFonts w:ascii="ＭＳ 明朝" w:hAnsi="ＭＳ 明朝"/>
          <w:color w:val="000000" w:themeColor="text1"/>
          <w:sz w:val="22"/>
          <w:szCs w:val="22"/>
        </w:rPr>
      </w:pPr>
      <w:r w:rsidRPr="0040061D">
        <w:rPr>
          <w:rFonts w:ascii="ＭＳ 明朝" w:hAnsi="ＭＳ 明朝" w:hint="eastAsia"/>
          <w:color w:val="000000" w:themeColor="text1"/>
          <w:sz w:val="22"/>
          <w:szCs w:val="22"/>
        </w:rPr>
        <w:t>ただし、次に掲げる場合は、この基準に適合しているものとして取り扱う。</w:t>
      </w:r>
    </w:p>
    <w:p w14:paraId="12106ACF" w14:textId="77777777" w:rsidR="009927AC" w:rsidRPr="0040061D" w:rsidRDefault="009927AC" w:rsidP="00761075">
      <w:pPr>
        <w:ind w:leftChars="315" w:left="1096" w:hangingChars="200" w:hanging="438"/>
        <w:rPr>
          <w:rFonts w:ascii="ＭＳ 明朝" w:hAnsi="ＭＳ 明朝"/>
          <w:color w:val="000000" w:themeColor="text1"/>
          <w:sz w:val="22"/>
          <w:szCs w:val="22"/>
        </w:rPr>
      </w:pPr>
      <w:r w:rsidRPr="0040061D">
        <w:rPr>
          <w:rFonts w:ascii="ＭＳ 明朝" w:hAnsi="ＭＳ 明朝" w:hint="eastAsia"/>
          <w:color w:val="000000" w:themeColor="text1"/>
          <w:sz w:val="22"/>
          <w:szCs w:val="22"/>
        </w:rPr>
        <w:t xml:space="preserve">　１　人の居住の用に供する建物又は建物の人の居住の用に供する部分の全部又は一部を事務所として使用し、かつ、次に掲げる要件を満たす場合</w:t>
      </w:r>
    </w:p>
    <w:p w14:paraId="1ADE4791" w14:textId="77777777" w:rsidR="009927AC" w:rsidRPr="0040061D" w:rsidRDefault="009927AC" w:rsidP="00761075">
      <w:pPr>
        <w:ind w:leftChars="114" w:left="238"/>
        <w:rPr>
          <w:rFonts w:ascii="ＭＳ 明朝" w:hAnsi="ＭＳ 明朝"/>
          <w:color w:val="000000" w:themeColor="text1"/>
          <w:sz w:val="22"/>
          <w:szCs w:val="22"/>
        </w:rPr>
      </w:pPr>
      <w:r w:rsidRPr="0040061D">
        <w:rPr>
          <w:rFonts w:ascii="ＭＳ 明朝" w:hAnsi="ＭＳ 明朝" w:hint="eastAsia"/>
          <w:color w:val="000000" w:themeColor="text1"/>
          <w:sz w:val="22"/>
          <w:szCs w:val="22"/>
        </w:rPr>
        <w:t xml:space="preserve">　　　　ア　入口部分から事務所に他の室を経由せずに通行できること。</w:t>
      </w:r>
    </w:p>
    <w:p w14:paraId="5C6C3A46" w14:textId="77777777" w:rsidR="009927AC" w:rsidRPr="0040061D" w:rsidRDefault="009927AC" w:rsidP="00761075">
      <w:pPr>
        <w:ind w:leftChars="114" w:left="238"/>
        <w:rPr>
          <w:rFonts w:ascii="ＭＳ 明朝" w:hAnsi="ＭＳ 明朝"/>
          <w:color w:val="000000" w:themeColor="text1"/>
          <w:sz w:val="22"/>
          <w:szCs w:val="22"/>
        </w:rPr>
      </w:pPr>
      <w:r w:rsidRPr="0040061D">
        <w:rPr>
          <w:rFonts w:ascii="ＭＳ 明朝" w:hAnsi="ＭＳ 明朝" w:hint="eastAsia"/>
          <w:color w:val="000000" w:themeColor="text1"/>
          <w:sz w:val="22"/>
          <w:szCs w:val="22"/>
        </w:rPr>
        <w:t xml:space="preserve">　　　　イ　居住の用に供する部分と事務所が壁等で明確に区切られていること。</w:t>
      </w:r>
    </w:p>
    <w:p w14:paraId="3F047CE6" w14:textId="77777777" w:rsidR="009927AC" w:rsidRPr="0040061D" w:rsidRDefault="009927AC" w:rsidP="00761075">
      <w:pPr>
        <w:ind w:leftChars="114" w:left="238"/>
        <w:rPr>
          <w:rFonts w:ascii="ＭＳ 明朝" w:hAnsi="ＭＳ 明朝"/>
          <w:color w:val="000000" w:themeColor="text1"/>
          <w:sz w:val="22"/>
          <w:szCs w:val="22"/>
        </w:rPr>
      </w:pPr>
      <w:r w:rsidRPr="0040061D">
        <w:rPr>
          <w:rFonts w:ascii="ＭＳ 明朝" w:hAnsi="ＭＳ 明朝" w:hint="eastAsia"/>
          <w:color w:val="000000" w:themeColor="text1"/>
          <w:sz w:val="22"/>
          <w:szCs w:val="22"/>
        </w:rPr>
        <w:t xml:space="preserve">　　　　ウ　事務所としての形態を備え、かつ、事務所としてのみ使用していること。</w:t>
      </w:r>
    </w:p>
    <w:p w14:paraId="2A386BDB" w14:textId="77777777" w:rsidR="009927AC" w:rsidRPr="0040061D" w:rsidRDefault="009927AC" w:rsidP="00761075">
      <w:pPr>
        <w:ind w:leftChars="420" w:left="1097" w:hangingChars="100" w:hanging="219"/>
        <w:rPr>
          <w:rFonts w:ascii="ＭＳ 明朝" w:hAnsi="ＭＳ 明朝"/>
          <w:color w:val="000000" w:themeColor="text1"/>
          <w:sz w:val="22"/>
          <w:szCs w:val="22"/>
        </w:rPr>
      </w:pPr>
      <w:r w:rsidRPr="0040061D">
        <w:rPr>
          <w:rFonts w:ascii="ＭＳ 明朝" w:hAnsi="ＭＳ 明朝" w:hint="eastAsia"/>
          <w:color w:val="000000" w:themeColor="text1"/>
          <w:sz w:val="22"/>
          <w:szCs w:val="22"/>
        </w:rPr>
        <w:t>２　事務所として使用する建物又は建物の部分の全部又は一部を他の者と共同で使用し、かつ、次に掲げる要件を満たす場合</w:t>
      </w:r>
    </w:p>
    <w:p w14:paraId="518E8467" w14:textId="77777777" w:rsidR="009927AC" w:rsidRPr="0040061D" w:rsidRDefault="009927AC" w:rsidP="00761075">
      <w:pPr>
        <w:ind w:leftChars="525" w:left="1316" w:hangingChars="100" w:hanging="219"/>
        <w:rPr>
          <w:rFonts w:ascii="ＭＳ 明朝" w:hAnsi="ＭＳ 明朝"/>
          <w:color w:val="000000" w:themeColor="text1"/>
          <w:sz w:val="22"/>
          <w:szCs w:val="22"/>
        </w:rPr>
      </w:pPr>
      <w:r w:rsidRPr="0040061D">
        <w:rPr>
          <w:rFonts w:ascii="ＭＳ 明朝" w:hAnsi="ＭＳ 明朝" w:hint="eastAsia"/>
          <w:color w:val="000000" w:themeColor="text1"/>
          <w:sz w:val="22"/>
          <w:szCs w:val="22"/>
        </w:rPr>
        <w:t>ア　入口部分から事務所に他の者の使用する部分を経由せずに通行できること。</w:t>
      </w:r>
    </w:p>
    <w:p w14:paraId="637A4712" w14:textId="77777777" w:rsidR="009927AC" w:rsidRPr="0040061D" w:rsidRDefault="009927AC" w:rsidP="00761075">
      <w:pPr>
        <w:ind w:leftChars="525" w:left="1316" w:hangingChars="100" w:hanging="219"/>
        <w:rPr>
          <w:rFonts w:ascii="ＭＳ 明朝" w:hAnsi="ＭＳ 明朝"/>
          <w:color w:val="000000" w:themeColor="text1"/>
          <w:sz w:val="22"/>
          <w:szCs w:val="22"/>
        </w:rPr>
      </w:pPr>
      <w:r w:rsidRPr="0040061D">
        <w:rPr>
          <w:rFonts w:ascii="ＭＳ 明朝" w:hAnsi="ＭＳ 明朝" w:hint="eastAsia"/>
          <w:color w:val="000000" w:themeColor="text1"/>
          <w:sz w:val="22"/>
          <w:szCs w:val="22"/>
        </w:rPr>
        <w:t>イ　他の者の使用する部分と固定式パーテーション（床面からの高さが170㎝以上で、かつ</w:t>
      </w:r>
      <w:r w:rsidR="005C284F" w:rsidRPr="0040061D">
        <w:rPr>
          <w:rFonts w:ascii="ＭＳ 明朝" w:hAnsi="ＭＳ 明朝" w:hint="eastAsia"/>
          <w:color w:val="000000" w:themeColor="text1"/>
          <w:sz w:val="22"/>
          <w:szCs w:val="22"/>
        </w:rPr>
        <w:t>、</w:t>
      </w:r>
      <w:r w:rsidRPr="0040061D">
        <w:rPr>
          <w:rFonts w:ascii="ＭＳ 明朝" w:hAnsi="ＭＳ 明朝" w:hint="eastAsia"/>
          <w:color w:val="000000" w:themeColor="text1"/>
          <w:sz w:val="22"/>
          <w:szCs w:val="22"/>
        </w:rPr>
        <w:t>隣の室が見渡せないものに限る。）等で明確に区切られていること。</w:t>
      </w:r>
    </w:p>
    <w:p w14:paraId="65056DB4" w14:textId="77777777" w:rsidR="009927AC" w:rsidRPr="0040061D" w:rsidRDefault="009927AC" w:rsidP="00761075">
      <w:pPr>
        <w:ind w:firstLineChars="500" w:firstLine="1095"/>
        <w:rPr>
          <w:rFonts w:ascii="ＭＳ 明朝" w:hAnsi="ＭＳ 明朝"/>
          <w:color w:val="000000" w:themeColor="text1"/>
          <w:sz w:val="22"/>
          <w:szCs w:val="22"/>
        </w:rPr>
      </w:pPr>
      <w:r w:rsidRPr="0040061D">
        <w:rPr>
          <w:rFonts w:ascii="ＭＳ 明朝" w:hAnsi="ＭＳ 明朝" w:hint="eastAsia"/>
          <w:color w:val="000000" w:themeColor="text1"/>
          <w:sz w:val="22"/>
          <w:szCs w:val="22"/>
        </w:rPr>
        <w:t>ウ　事務所としての形態を備え、かつ、事務所としてのみ使用していること。</w:t>
      </w:r>
    </w:p>
    <w:p w14:paraId="1C4E8F60" w14:textId="77777777" w:rsidR="009927AC" w:rsidRPr="0040061D" w:rsidRDefault="009927AC" w:rsidP="00761075">
      <w:pPr>
        <w:ind w:left="657" w:hangingChars="300" w:hanging="657"/>
        <w:rPr>
          <w:rFonts w:ascii="ＭＳ 明朝" w:hAnsi="ＭＳ 明朝"/>
          <w:color w:val="000000" w:themeColor="text1"/>
          <w:sz w:val="22"/>
          <w:szCs w:val="22"/>
        </w:rPr>
      </w:pPr>
      <w:r w:rsidRPr="0040061D">
        <w:rPr>
          <w:rFonts w:ascii="ＭＳ 明朝" w:hAnsi="ＭＳ 明朝" w:hint="eastAsia"/>
          <w:color w:val="000000" w:themeColor="text1"/>
          <w:sz w:val="22"/>
          <w:szCs w:val="22"/>
        </w:rPr>
        <w:t>（注２）なお、法第２条第３号に定める宅地建物取引業者（以下単に「宅地建物取引業者」という。）が法人の場合、商業登記簿に本店として登記されたものが「主たる事務所」となり、支店のみで免許を申請することは認められない。</w:t>
      </w:r>
    </w:p>
    <w:p w14:paraId="0CDF0874" w14:textId="77777777" w:rsidR="009927AC" w:rsidRPr="0040061D" w:rsidRDefault="009927AC" w:rsidP="009927AC">
      <w:pPr>
        <w:rPr>
          <w:rFonts w:ascii="ＭＳ 明朝" w:hAnsi="ＭＳ 明朝"/>
          <w:color w:val="000000" w:themeColor="text1"/>
          <w:sz w:val="22"/>
          <w:szCs w:val="22"/>
        </w:rPr>
      </w:pPr>
    </w:p>
    <w:p w14:paraId="635414EB" w14:textId="3AD2C3D5" w:rsidR="009927AC" w:rsidRPr="0040061D" w:rsidRDefault="009927AC" w:rsidP="009927AC">
      <w:pPr>
        <w:rPr>
          <w:rFonts w:ascii="ＭＳ 明朝" w:hAnsi="ＭＳ 明朝"/>
          <w:color w:val="000000" w:themeColor="text1"/>
          <w:sz w:val="22"/>
          <w:szCs w:val="22"/>
        </w:rPr>
      </w:pPr>
      <w:r w:rsidRPr="0040061D">
        <w:rPr>
          <w:rFonts w:ascii="ＭＳ 明朝" w:hAnsi="ＭＳ 明朝" w:hint="eastAsia"/>
          <w:b/>
          <w:color w:val="000000" w:themeColor="text1"/>
          <w:sz w:val="22"/>
          <w:szCs w:val="22"/>
        </w:rPr>
        <w:t>（専任の</w:t>
      </w:r>
      <w:r w:rsidR="00E11E59" w:rsidRPr="0040061D">
        <w:rPr>
          <w:rFonts w:ascii="ＭＳ 明朝" w:hAnsi="ＭＳ 明朝" w:hint="eastAsia"/>
          <w:b/>
          <w:color w:val="000000" w:themeColor="text1"/>
          <w:sz w:val="22"/>
          <w:szCs w:val="22"/>
        </w:rPr>
        <w:t>宅地建物取引士</w:t>
      </w:r>
      <w:r w:rsidRPr="0040061D">
        <w:rPr>
          <w:rFonts w:ascii="ＭＳ 明朝" w:hAnsi="ＭＳ 明朝" w:hint="eastAsia"/>
          <w:b/>
          <w:color w:val="000000" w:themeColor="text1"/>
          <w:sz w:val="22"/>
          <w:szCs w:val="22"/>
        </w:rPr>
        <w:t>）</w:t>
      </w:r>
    </w:p>
    <w:p w14:paraId="6B770FD0" w14:textId="059010E5" w:rsidR="00E11E59" w:rsidRPr="0040061D" w:rsidRDefault="009927AC" w:rsidP="00E11E59">
      <w:pPr>
        <w:ind w:left="220" w:hangingChars="100" w:hanging="220"/>
        <w:rPr>
          <w:rFonts w:ascii="ＭＳ 明朝" w:hAnsi="ＭＳ 明朝"/>
          <w:color w:val="000000" w:themeColor="text1"/>
          <w:sz w:val="22"/>
          <w:szCs w:val="22"/>
        </w:rPr>
      </w:pPr>
      <w:r w:rsidRPr="0040061D">
        <w:rPr>
          <w:rFonts w:ascii="ＭＳ 明朝" w:hAnsi="ＭＳ 明朝" w:hint="eastAsia"/>
          <w:b/>
          <w:color w:val="000000" w:themeColor="text1"/>
          <w:sz w:val="22"/>
          <w:szCs w:val="22"/>
        </w:rPr>
        <w:t>第２</w:t>
      </w:r>
      <w:r w:rsidRPr="0040061D">
        <w:rPr>
          <w:rFonts w:ascii="ＭＳ 明朝" w:hAnsi="ＭＳ 明朝" w:hint="eastAsia"/>
          <w:color w:val="000000" w:themeColor="text1"/>
          <w:sz w:val="22"/>
          <w:szCs w:val="22"/>
        </w:rPr>
        <w:t xml:space="preserve">　</w:t>
      </w:r>
      <w:r w:rsidR="00E11E59" w:rsidRPr="0040061D">
        <w:rPr>
          <w:rFonts w:ascii="ＭＳ 明朝" w:hAnsi="ＭＳ 明朝" w:hint="eastAsia"/>
          <w:color w:val="000000" w:themeColor="text1"/>
          <w:sz w:val="22"/>
          <w:szCs w:val="22"/>
        </w:rPr>
        <w:t>法第31条の３第１項に規定する専任の宅地建物取引士は、宅地建物取引業を営む事務所に常勤（宅地建物取引業者の通常の勤務時間を勤務することをいう。ＩＴの活用等により適切な業務ができる体制を確保した上で、宅地建物取引業者の事務所以外において通常の勤務時間を勤務する場合を含む。）をして、専ら宅地建物取引業に従事する者でなければならない。ただし、当該事務所が宅地建物取引業以外の業種を兼業している場合等で、当該事務所において一時的に宅地建物取引業の業務が行われていない間に他の業種に係る業務に従事することは差し支えないものとする。また、同様に、当該事務所において一時的に宅地建物取引業の業務が行われていない間に、ＩＴの活用等により、同一の宅地建物取引業者の他の事務所に係る宅地建物取引業の業務に従事することは差し支えないが、この場合において、当該他の事務所における専任の宅地建物取引士を兼ねることができるわけではないことに留意すること。</w:t>
      </w:r>
    </w:p>
    <w:p w14:paraId="51A69732" w14:textId="77777777" w:rsidR="00E11E59" w:rsidRPr="0040061D" w:rsidRDefault="00E11E59" w:rsidP="00E11E59">
      <w:pPr>
        <w:rPr>
          <w:rFonts w:ascii="ＭＳ 明朝" w:hAnsi="ＭＳ 明朝"/>
          <w:color w:val="000000" w:themeColor="text1"/>
          <w:sz w:val="22"/>
          <w:szCs w:val="22"/>
        </w:rPr>
      </w:pPr>
      <w:r w:rsidRPr="0040061D">
        <w:rPr>
          <w:rFonts w:ascii="ＭＳ 明朝" w:hAnsi="ＭＳ 明朝" w:hint="eastAsia"/>
          <w:color w:val="000000" w:themeColor="text1"/>
          <w:sz w:val="22"/>
          <w:szCs w:val="22"/>
        </w:rPr>
        <w:t>（注）次に掲げる者は、原則として、この基準に適合したものとは認められない。</w:t>
      </w:r>
    </w:p>
    <w:p w14:paraId="7F034415" w14:textId="77777777" w:rsidR="00E11E59" w:rsidRPr="0040061D" w:rsidRDefault="00E11E59" w:rsidP="00E11E59">
      <w:pPr>
        <w:ind w:leftChars="100" w:left="209"/>
        <w:rPr>
          <w:rFonts w:ascii="ＭＳ 明朝" w:hAnsi="ＭＳ 明朝"/>
          <w:color w:val="000000" w:themeColor="text1"/>
          <w:sz w:val="22"/>
          <w:szCs w:val="22"/>
        </w:rPr>
      </w:pPr>
      <w:r w:rsidRPr="0040061D">
        <w:rPr>
          <w:rFonts w:ascii="ＭＳ 明朝" w:hAnsi="ＭＳ 明朝" w:hint="eastAsia"/>
          <w:color w:val="000000" w:themeColor="text1"/>
          <w:sz w:val="22"/>
          <w:szCs w:val="22"/>
        </w:rPr>
        <w:lastRenderedPageBreak/>
        <w:t>１　住所が勤務を要する事務所の所在地から著しく遠距離にあり、常識的に通勤が不可能な者</w:t>
      </w:r>
    </w:p>
    <w:p w14:paraId="3B57E18D" w14:textId="77777777" w:rsidR="00E11E59" w:rsidRPr="0040061D" w:rsidRDefault="00E11E59" w:rsidP="00E11E59">
      <w:pPr>
        <w:ind w:leftChars="100" w:left="209"/>
        <w:rPr>
          <w:rFonts w:ascii="ＭＳ 明朝" w:hAnsi="ＭＳ 明朝"/>
          <w:color w:val="000000" w:themeColor="text1"/>
          <w:sz w:val="22"/>
          <w:szCs w:val="22"/>
        </w:rPr>
      </w:pPr>
      <w:r w:rsidRPr="0040061D">
        <w:rPr>
          <w:rFonts w:ascii="ＭＳ 明朝" w:hAnsi="ＭＳ 明朝" w:hint="eastAsia"/>
          <w:color w:val="000000" w:themeColor="text1"/>
          <w:sz w:val="22"/>
          <w:szCs w:val="22"/>
        </w:rPr>
        <w:t>２　他の事務所で専任の取引主任者として従事している者</w:t>
      </w:r>
    </w:p>
    <w:p w14:paraId="3574A4E2" w14:textId="77777777" w:rsidR="00E11E59" w:rsidRPr="0040061D" w:rsidRDefault="00E11E59" w:rsidP="00E11E59">
      <w:pPr>
        <w:ind w:leftChars="100" w:left="209"/>
        <w:rPr>
          <w:rFonts w:ascii="ＭＳ 明朝" w:hAnsi="ＭＳ 明朝"/>
          <w:color w:val="000000" w:themeColor="text1"/>
          <w:sz w:val="22"/>
          <w:szCs w:val="22"/>
        </w:rPr>
      </w:pPr>
      <w:r w:rsidRPr="0040061D">
        <w:rPr>
          <w:rFonts w:ascii="ＭＳ 明朝" w:hAnsi="ＭＳ 明朝" w:hint="eastAsia"/>
          <w:color w:val="000000" w:themeColor="text1"/>
          <w:sz w:val="22"/>
          <w:szCs w:val="22"/>
        </w:rPr>
        <w:t>３　他の法人の常勤の役員を兼務している者</w:t>
      </w:r>
    </w:p>
    <w:p w14:paraId="4E629CB6" w14:textId="6623EA3E" w:rsidR="009927AC" w:rsidRPr="0040061D" w:rsidRDefault="00E11E59" w:rsidP="00E11E59">
      <w:pPr>
        <w:ind w:leftChars="100" w:left="209"/>
        <w:rPr>
          <w:rFonts w:ascii="ＭＳ 明朝" w:hAnsi="ＭＳ 明朝"/>
          <w:color w:val="000000" w:themeColor="text1"/>
          <w:sz w:val="22"/>
          <w:szCs w:val="22"/>
        </w:rPr>
      </w:pPr>
      <w:r w:rsidRPr="0040061D">
        <w:rPr>
          <w:rFonts w:ascii="ＭＳ 明朝" w:hAnsi="ＭＳ 明朝" w:hint="eastAsia"/>
          <w:color w:val="000000" w:themeColor="text1"/>
          <w:sz w:val="22"/>
          <w:szCs w:val="22"/>
        </w:rPr>
        <w:t>４　宅地建物取引業以外の業種に係る業務に専ら従事している者</w:t>
      </w:r>
    </w:p>
    <w:bookmarkEnd w:id="0"/>
    <w:p w14:paraId="3822D074" w14:textId="77777777" w:rsidR="006125F2" w:rsidRPr="0040061D" w:rsidRDefault="006125F2" w:rsidP="00761075">
      <w:pPr>
        <w:ind w:left="438" w:hangingChars="200" w:hanging="438"/>
        <w:jc w:val="center"/>
        <w:rPr>
          <w:color w:val="000000" w:themeColor="text1"/>
          <w:sz w:val="22"/>
          <w:szCs w:val="22"/>
        </w:rPr>
      </w:pPr>
    </w:p>
    <w:sectPr w:rsidR="006125F2" w:rsidRPr="0040061D" w:rsidSect="00E11E59">
      <w:pgSz w:w="12240" w:h="15840" w:code="1"/>
      <w:pgMar w:top="1418" w:right="1418" w:bottom="1134" w:left="1418" w:header="720" w:footer="720" w:gutter="0"/>
      <w:cols w:space="425"/>
      <w:noEndnote/>
      <w:docGrid w:type="linesAndChars" w:linePitch="295" w:charSpace="-2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86149" w14:textId="77777777" w:rsidR="00BA43F5" w:rsidRDefault="00BA43F5" w:rsidP="00BA43F5">
      <w:r>
        <w:separator/>
      </w:r>
    </w:p>
  </w:endnote>
  <w:endnote w:type="continuationSeparator" w:id="0">
    <w:p w14:paraId="6F3154A6" w14:textId="77777777" w:rsidR="00BA43F5" w:rsidRDefault="00BA43F5" w:rsidP="00BA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3BFEB" w14:textId="77777777" w:rsidR="00BA43F5" w:rsidRDefault="00BA43F5" w:rsidP="00BA43F5">
      <w:r>
        <w:separator/>
      </w:r>
    </w:p>
  </w:footnote>
  <w:footnote w:type="continuationSeparator" w:id="0">
    <w:p w14:paraId="7B046B8C" w14:textId="77777777" w:rsidR="00BA43F5" w:rsidRDefault="00BA43F5" w:rsidP="00BA43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29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353"/>
    <w:rsid w:val="00026742"/>
    <w:rsid w:val="000C5849"/>
    <w:rsid w:val="000D34D2"/>
    <w:rsid w:val="0012032F"/>
    <w:rsid w:val="001B199F"/>
    <w:rsid w:val="00373CFC"/>
    <w:rsid w:val="0040061D"/>
    <w:rsid w:val="0041010D"/>
    <w:rsid w:val="00503B10"/>
    <w:rsid w:val="00561C38"/>
    <w:rsid w:val="005C284F"/>
    <w:rsid w:val="006125F2"/>
    <w:rsid w:val="00640227"/>
    <w:rsid w:val="0066566E"/>
    <w:rsid w:val="006E5353"/>
    <w:rsid w:val="00761075"/>
    <w:rsid w:val="007B685B"/>
    <w:rsid w:val="007D7FDC"/>
    <w:rsid w:val="008B03C0"/>
    <w:rsid w:val="008E4404"/>
    <w:rsid w:val="009927AC"/>
    <w:rsid w:val="009E3948"/>
    <w:rsid w:val="00A65E44"/>
    <w:rsid w:val="00AE783A"/>
    <w:rsid w:val="00B37638"/>
    <w:rsid w:val="00BA43F5"/>
    <w:rsid w:val="00BD4222"/>
    <w:rsid w:val="00C6545B"/>
    <w:rsid w:val="00D134E1"/>
    <w:rsid w:val="00D24C02"/>
    <w:rsid w:val="00D515F3"/>
    <w:rsid w:val="00DF5D2F"/>
    <w:rsid w:val="00E11E59"/>
    <w:rsid w:val="00E879E9"/>
    <w:rsid w:val="00EE60F5"/>
    <w:rsid w:val="00F025BE"/>
    <w:rsid w:val="00F95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F88494D"/>
  <w15:chartTrackingRefBased/>
  <w15:docId w15:val="{88E9DBAA-3BE5-4241-8711-52A8AB02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27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A43F5"/>
    <w:pPr>
      <w:tabs>
        <w:tab w:val="center" w:pos="4252"/>
        <w:tab w:val="right" w:pos="8504"/>
      </w:tabs>
      <w:snapToGrid w:val="0"/>
    </w:pPr>
  </w:style>
  <w:style w:type="character" w:customStyle="1" w:styleId="a4">
    <w:name w:val="ヘッダー (文字)"/>
    <w:basedOn w:val="a0"/>
    <w:link w:val="a3"/>
    <w:rsid w:val="00BA43F5"/>
    <w:rPr>
      <w:kern w:val="2"/>
      <w:sz w:val="21"/>
      <w:szCs w:val="24"/>
    </w:rPr>
  </w:style>
  <w:style w:type="paragraph" w:styleId="a5">
    <w:name w:val="footer"/>
    <w:basedOn w:val="a"/>
    <w:link w:val="a6"/>
    <w:rsid w:val="00BA43F5"/>
    <w:pPr>
      <w:tabs>
        <w:tab w:val="center" w:pos="4252"/>
        <w:tab w:val="right" w:pos="8504"/>
      </w:tabs>
      <w:snapToGrid w:val="0"/>
    </w:pPr>
  </w:style>
  <w:style w:type="character" w:customStyle="1" w:styleId="a6">
    <w:name w:val="フッター (文字)"/>
    <w:basedOn w:val="a0"/>
    <w:link w:val="a5"/>
    <w:rsid w:val="00BA43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1421</Words>
  <Characters>64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宅地建物取引業の免許に係る審査基準（案）</vt:lpstr>
      <vt:lpstr>宅地建物取引業の免許に係る審査基準（案）</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宅地建物取引業の免許に係る審査基準（案）</dc:title>
  <dc:subject/>
  <dc:creator>大阪府職員端末機１７年度１２月調達</dc:creator>
  <cp:keywords/>
  <dc:description/>
  <cp:lastModifiedBy>守田　歩美</cp:lastModifiedBy>
  <cp:revision>2</cp:revision>
  <cp:lastPrinted>2010-06-21T01:11:00Z</cp:lastPrinted>
  <dcterms:created xsi:type="dcterms:W3CDTF">2024-04-23T01:17:00Z</dcterms:created>
  <dcterms:modified xsi:type="dcterms:W3CDTF">2024-04-23T01:17:00Z</dcterms:modified>
</cp:coreProperties>
</file>