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BA" w:rsidRPr="00A42238" w:rsidRDefault="004942BA">
      <w:pPr>
        <w:rPr>
          <w:rFonts w:ascii="メイリオ" w:eastAsia="メイリオ" w:hAnsi="メイリオ" w:cs="メイリオ"/>
          <w:color w:val="FF0000"/>
        </w:rPr>
      </w:pPr>
      <w:bookmarkStart w:id="0" w:name="_GoBack"/>
      <w:bookmarkEnd w:id="0"/>
    </w:p>
    <w:p w:rsidR="007C49B2" w:rsidRPr="00304F4C" w:rsidRDefault="007C49B2">
      <w:pPr>
        <w:rPr>
          <w:rFonts w:ascii="メイリオ" w:eastAsia="メイリオ" w:hAnsi="メイリオ" w:cs="メイリオ"/>
        </w:rPr>
      </w:pPr>
      <w:r w:rsidRPr="00304F4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D904" wp14:editId="1F856CEF">
                <wp:simplePos x="0" y="0"/>
                <wp:positionH relativeFrom="column">
                  <wp:posOffset>24765</wp:posOffset>
                </wp:positionH>
                <wp:positionV relativeFrom="paragraph">
                  <wp:posOffset>-98425</wp:posOffset>
                </wp:positionV>
                <wp:extent cx="5410200" cy="847725"/>
                <wp:effectExtent l="0" t="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84772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2000">
                              <a:schemeClr val="accent5"/>
                            </a:gs>
                            <a:gs pos="0">
                              <a:schemeClr val="accent5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46B" w:rsidRPr="00304F4C" w:rsidRDefault="0056646B" w:rsidP="007C49B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304F4C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電子入札への移行のお知らせ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.95pt;margin-top:-7.75pt;width:426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" fillcolor="#4bacc6 [3208]" strokecolor="#f79646 [3209]" strokeweight="2pt">
                <v:fill color2="#d6e2f0 [756]" colors="0 #4bacc6;1311f #4bacc6;1 #e1e8f5" focus="100%" type="gradient">
                  <o:fill v:ext="view" type="gradientUnscaled"/>
                </v:fill>
                <v:textbox>
                  <w:txbxContent>
                    <w:p w:rsidR="0056646B" w:rsidRPr="00304F4C" w:rsidRDefault="0056646B" w:rsidP="007C49B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304F4C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電子入札への移行のお知らせ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7C49B2" w:rsidRPr="00304F4C" w:rsidRDefault="007C49B2">
      <w:pPr>
        <w:rPr>
          <w:rFonts w:ascii="メイリオ" w:eastAsia="メイリオ" w:hAnsi="メイリオ" w:cs="メイリオ"/>
        </w:rPr>
      </w:pPr>
    </w:p>
    <w:p w:rsidR="007C49B2" w:rsidRPr="00304F4C" w:rsidRDefault="007C49B2">
      <w:pPr>
        <w:rPr>
          <w:rFonts w:ascii="メイリオ" w:eastAsia="メイリオ" w:hAnsi="メイリオ" w:cs="メイリオ"/>
        </w:rPr>
      </w:pPr>
    </w:p>
    <w:p w:rsidR="007C49B2" w:rsidRPr="00304F4C" w:rsidRDefault="007C49B2">
      <w:pPr>
        <w:rPr>
          <w:rFonts w:ascii="メイリオ" w:eastAsia="メイリオ" w:hAnsi="メイリオ" w:cs="メイリオ"/>
        </w:rPr>
      </w:pPr>
    </w:p>
    <w:p w:rsidR="00823E86" w:rsidRPr="00303F63" w:rsidRDefault="007C49B2" w:rsidP="00303F63">
      <w:pPr>
        <w:pStyle w:val="ac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Cs w:val="21"/>
        </w:rPr>
      </w:pPr>
      <w:r w:rsidRPr="00303F63">
        <w:rPr>
          <w:rFonts w:ascii="メイリオ" w:eastAsia="メイリオ" w:hAnsi="メイリオ" w:cs="メイリオ" w:hint="eastAsia"/>
          <w:szCs w:val="21"/>
        </w:rPr>
        <w:t>大阪府</w:t>
      </w:r>
      <w:r w:rsidR="003E57EA" w:rsidRPr="00303F63">
        <w:rPr>
          <w:rFonts w:ascii="メイリオ" w:eastAsia="メイリオ" w:hAnsi="メイリオ" w:cs="メイリオ" w:hint="eastAsia"/>
          <w:szCs w:val="21"/>
        </w:rPr>
        <w:t>の各流域下水道事務所</w:t>
      </w:r>
      <w:r w:rsidRPr="00303F63">
        <w:rPr>
          <w:rFonts w:ascii="メイリオ" w:eastAsia="メイリオ" w:hAnsi="メイリオ" w:cs="メイリオ" w:hint="eastAsia"/>
          <w:szCs w:val="21"/>
        </w:rPr>
        <w:t>では、従来から</w:t>
      </w:r>
      <w:r w:rsidR="00303F63">
        <w:rPr>
          <w:rFonts w:ascii="メイリオ" w:eastAsia="メイリオ" w:hAnsi="メイリオ" w:cs="メイリオ" w:hint="eastAsia"/>
          <w:szCs w:val="21"/>
        </w:rPr>
        <w:t>管渠診断業務、処理施設改良（防食）実施設計業務</w:t>
      </w:r>
      <w:r w:rsidRPr="00303F63">
        <w:rPr>
          <w:rFonts w:ascii="メイリオ" w:eastAsia="メイリオ" w:hAnsi="メイリオ" w:cs="メイリオ" w:hint="eastAsia"/>
          <w:szCs w:val="21"/>
        </w:rPr>
        <w:t>の入札については、紙入札</w:t>
      </w:r>
      <w:r w:rsidRPr="0056730A">
        <w:rPr>
          <w:rFonts w:ascii="メイリオ" w:eastAsia="メイリオ" w:hAnsi="メイリオ" w:cs="メイリオ" w:hint="eastAsia"/>
          <w:color w:val="000000" w:themeColor="text1"/>
          <w:szCs w:val="21"/>
        </w:rPr>
        <w:t>を実施して</w:t>
      </w:r>
      <w:r w:rsidR="00A42238" w:rsidRPr="0056730A">
        <w:rPr>
          <w:rFonts w:ascii="メイリオ" w:eastAsia="メイリオ" w:hAnsi="メイリオ" w:cs="メイリオ" w:hint="eastAsia"/>
          <w:color w:val="000000" w:themeColor="text1"/>
          <w:szCs w:val="21"/>
        </w:rPr>
        <w:t>きた</w:t>
      </w:r>
      <w:r w:rsidRPr="0056730A">
        <w:rPr>
          <w:rFonts w:ascii="メイリオ" w:eastAsia="メイリオ" w:hAnsi="メイリオ" w:cs="メイリオ" w:hint="eastAsia"/>
          <w:color w:val="000000" w:themeColor="text1"/>
          <w:szCs w:val="21"/>
        </w:rPr>
        <w:t>ところで</w:t>
      </w:r>
      <w:r w:rsidRPr="00303F63">
        <w:rPr>
          <w:rFonts w:ascii="メイリオ" w:eastAsia="メイリオ" w:hAnsi="メイリオ" w:cs="メイリオ" w:hint="eastAsia"/>
          <w:szCs w:val="21"/>
        </w:rPr>
        <w:t>す。</w:t>
      </w:r>
    </w:p>
    <w:p w:rsidR="007C49B2" w:rsidRPr="00303F63" w:rsidRDefault="00303F63" w:rsidP="00303F63">
      <w:pPr>
        <w:pStyle w:val="ac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当該業務</w:t>
      </w:r>
      <w:r w:rsidR="0056646B" w:rsidRPr="00303F63">
        <w:rPr>
          <w:rFonts w:ascii="メイリオ" w:eastAsia="メイリオ" w:hAnsi="メイリオ" w:cs="メイリオ" w:hint="eastAsia"/>
          <w:szCs w:val="21"/>
        </w:rPr>
        <w:t>については、</w:t>
      </w:r>
      <w:r w:rsidR="007C49B2" w:rsidRPr="00303F63">
        <w:rPr>
          <w:rFonts w:ascii="メイリオ" w:eastAsia="メイリオ" w:hAnsi="メイリオ" w:cs="メイリオ" w:hint="eastAsia"/>
          <w:szCs w:val="21"/>
        </w:rPr>
        <w:t>平成</w:t>
      </w:r>
      <w:r>
        <w:rPr>
          <w:rFonts w:ascii="メイリオ" w:eastAsia="メイリオ" w:hAnsi="メイリオ" w:cs="メイリオ" w:hint="eastAsia"/>
          <w:szCs w:val="21"/>
        </w:rPr>
        <w:t>２６</w:t>
      </w:r>
      <w:r w:rsidR="007C49B2" w:rsidRPr="00303F63">
        <w:rPr>
          <w:rFonts w:ascii="メイリオ" w:eastAsia="メイリオ" w:hAnsi="メイリオ" w:cs="メイリオ" w:hint="eastAsia"/>
          <w:szCs w:val="21"/>
        </w:rPr>
        <w:t>年度分の入札から契約局での電子入札を実施する</w:t>
      </w:r>
      <w:r>
        <w:rPr>
          <w:rFonts w:ascii="メイリオ" w:eastAsia="メイリオ" w:hAnsi="メイリオ" w:cs="メイリオ" w:hint="eastAsia"/>
          <w:szCs w:val="21"/>
        </w:rPr>
        <w:t>予定です。</w:t>
      </w:r>
    </w:p>
    <w:p w:rsidR="007C49B2" w:rsidRPr="00303F63" w:rsidRDefault="007C49B2" w:rsidP="00303F63">
      <w:pPr>
        <w:pStyle w:val="ac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Cs w:val="21"/>
        </w:rPr>
      </w:pPr>
      <w:r w:rsidRPr="00303F63">
        <w:rPr>
          <w:rFonts w:ascii="メイリオ" w:eastAsia="メイリオ" w:hAnsi="メイリオ" w:cs="メイリオ" w:hint="eastAsia"/>
          <w:szCs w:val="21"/>
        </w:rPr>
        <w:t>電子入札を実施する案件については、順次公告する予定ですので、契約局及び</w:t>
      </w:r>
      <w:r w:rsidR="00E11657" w:rsidRPr="00303F63">
        <w:rPr>
          <w:rFonts w:ascii="メイリオ" w:eastAsia="メイリオ" w:hAnsi="メイリオ" w:cs="メイリオ" w:hint="eastAsia"/>
          <w:szCs w:val="21"/>
        </w:rPr>
        <w:t>各</w:t>
      </w:r>
      <w:r w:rsidRPr="00303F63">
        <w:rPr>
          <w:rFonts w:ascii="メイリオ" w:eastAsia="メイリオ" w:hAnsi="メイリオ" w:cs="メイリオ" w:hint="eastAsia"/>
          <w:szCs w:val="21"/>
        </w:rPr>
        <w:t>流域下水道事務所のホームページをご確認いただきますようお願いします。</w:t>
      </w:r>
    </w:p>
    <w:p w:rsidR="00C603E9" w:rsidRPr="00304F4C" w:rsidRDefault="00C603E9">
      <w:pPr>
        <w:rPr>
          <w:rFonts w:ascii="メイリオ" w:eastAsia="メイリオ" w:hAnsi="メイリオ" w:cs="メイリオ"/>
          <w:szCs w:val="21"/>
        </w:rPr>
      </w:pPr>
    </w:p>
    <w:p w:rsidR="00C603E9" w:rsidRPr="00304F4C" w:rsidRDefault="006F56C3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>電子入札に移行する</w:t>
      </w:r>
      <w:r w:rsidR="00303F63">
        <w:rPr>
          <w:rFonts w:ascii="メイリオ" w:eastAsia="メイリオ" w:hAnsi="メイリオ" w:cs="メイリオ" w:hint="eastAsia"/>
          <w:szCs w:val="21"/>
        </w:rPr>
        <w:t>業務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2268"/>
        <w:gridCol w:w="3686"/>
        <w:gridCol w:w="2409"/>
      </w:tblGrid>
      <w:tr w:rsidR="0094267C" w:rsidRPr="00304F4C" w:rsidTr="0094267C">
        <w:tc>
          <w:tcPr>
            <w:tcW w:w="2268" w:type="dxa"/>
            <w:vAlign w:val="center"/>
          </w:tcPr>
          <w:p w:rsidR="0094267C" w:rsidRPr="00304F4C" w:rsidRDefault="0094267C" w:rsidP="008215E6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業務名</w:t>
            </w:r>
          </w:p>
        </w:tc>
        <w:tc>
          <w:tcPr>
            <w:tcW w:w="3686" w:type="dxa"/>
            <w:shd w:val="clear" w:color="auto" w:fill="auto"/>
          </w:tcPr>
          <w:p w:rsidR="0094267C" w:rsidRPr="00304F4C" w:rsidRDefault="0094267C" w:rsidP="00025F70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2409" w:type="dxa"/>
            <w:vAlign w:val="center"/>
          </w:tcPr>
          <w:p w:rsidR="0094267C" w:rsidRPr="00304F4C" w:rsidRDefault="0094267C" w:rsidP="008A047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04F4C">
              <w:rPr>
                <w:rFonts w:ascii="メイリオ" w:eastAsia="メイリオ" w:hAnsi="メイリオ" w:cs="メイリオ" w:hint="eastAsia"/>
                <w:szCs w:val="21"/>
              </w:rPr>
              <w:t>事務所名</w:t>
            </w:r>
          </w:p>
        </w:tc>
      </w:tr>
      <w:tr w:rsidR="0094267C" w:rsidRPr="00304F4C" w:rsidTr="0094267C">
        <w:tc>
          <w:tcPr>
            <w:tcW w:w="2268" w:type="dxa"/>
            <w:vAlign w:val="center"/>
          </w:tcPr>
          <w:p w:rsidR="0094267C" w:rsidRPr="00304F4C" w:rsidRDefault="0094267C" w:rsidP="00025F7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管渠診断業務</w:t>
            </w:r>
          </w:p>
        </w:tc>
        <w:tc>
          <w:tcPr>
            <w:tcW w:w="3686" w:type="dxa"/>
            <w:shd w:val="clear" w:color="auto" w:fill="auto"/>
          </w:tcPr>
          <w:p w:rsidR="0094267C" w:rsidRPr="00304F4C" w:rsidRDefault="0094267C" w:rsidP="0094267C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  <w:r w:rsidRPr="0056730A">
              <w:rPr>
                <w:rFonts w:ascii="メイリオ" w:eastAsia="メイリオ" w:hAnsi="メイリオ" w:cs="メイリオ" w:hint="eastAsia"/>
                <w:color w:val="000000" w:themeColor="text1"/>
              </w:rPr>
              <w:t>供用中の下水管渠内面の劣化状況を</w:t>
            </w:r>
            <w:r w:rsidR="00A42238" w:rsidRPr="0056730A">
              <w:rPr>
                <w:rFonts w:ascii="メイリオ" w:eastAsia="メイリオ" w:hAnsi="メイリオ" w:cs="メイリオ" w:hint="eastAsia"/>
                <w:color w:val="000000" w:themeColor="text1"/>
              </w:rPr>
              <w:t>調査・</w:t>
            </w:r>
            <w:r w:rsidRPr="0056730A">
              <w:rPr>
                <w:rFonts w:ascii="メイリオ" w:eastAsia="メイリオ" w:hAnsi="メイリオ" w:cs="メイリオ" w:hint="eastAsia"/>
                <w:color w:val="000000" w:themeColor="text1"/>
              </w:rPr>
              <w:t>診断し、必要な対策を検討する業務</w:t>
            </w:r>
            <w:r w:rsidRPr="0094267C">
              <w:rPr>
                <w:rFonts w:ascii="メイリオ" w:eastAsia="メイリオ" w:hAnsi="メイリオ" w:cs="メイリオ" w:hint="eastAsia"/>
              </w:rPr>
              <w:t>。</w:t>
            </w:r>
          </w:p>
        </w:tc>
        <w:tc>
          <w:tcPr>
            <w:tcW w:w="2409" w:type="dxa"/>
            <w:vMerge w:val="restart"/>
            <w:vAlign w:val="center"/>
          </w:tcPr>
          <w:p w:rsidR="0094267C" w:rsidRPr="00304F4C" w:rsidRDefault="0094267C" w:rsidP="008A047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04F4C">
              <w:rPr>
                <w:rFonts w:ascii="メイリオ" w:eastAsia="メイリオ" w:hAnsi="メイリオ" w:cs="メイリオ" w:hint="eastAsia"/>
                <w:szCs w:val="21"/>
              </w:rPr>
              <w:t>北部流域下水道事務所</w:t>
            </w:r>
          </w:p>
          <w:p w:rsidR="0094267C" w:rsidRPr="00304F4C" w:rsidRDefault="0094267C" w:rsidP="008A047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04F4C">
              <w:rPr>
                <w:rFonts w:ascii="メイリオ" w:eastAsia="メイリオ" w:hAnsi="メイリオ" w:cs="メイリオ" w:hint="eastAsia"/>
                <w:szCs w:val="21"/>
              </w:rPr>
              <w:t>東部流域下水道事務所</w:t>
            </w:r>
          </w:p>
          <w:p w:rsidR="0094267C" w:rsidRPr="00304F4C" w:rsidRDefault="0094267C" w:rsidP="008A047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04F4C">
              <w:rPr>
                <w:rFonts w:ascii="メイリオ" w:eastAsia="メイリオ" w:hAnsi="メイリオ" w:cs="メイリオ" w:hint="eastAsia"/>
                <w:szCs w:val="21"/>
              </w:rPr>
              <w:t>南部流域下水道事務所</w:t>
            </w:r>
          </w:p>
        </w:tc>
      </w:tr>
      <w:tr w:rsidR="0094267C" w:rsidRPr="00304F4C" w:rsidTr="0094267C">
        <w:tc>
          <w:tcPr>
            <w:tcW w:w="2268" w:type="dxa"/>
            <w:vAlign w:val="center"/>
          </w:tcPr>
          <w:p w:rsidR="0094267C" w:rsidRPr="00304F4C" w:rsidRDefault="0094267C" w:rsidP="00025F7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4267C">
              <w:rPr>
                <w:rFonts w:ascii="メイリオ" w:eastAsia="メイリオ" w:hAnsi="メイリオ" w:cs="メイリオ" w:hint="eastAsia"/>
                <w:szCs w:val="21"/>
              </w:rPr>
              <w:t>処理施設改良（防食）実施設計業務</w:t>
            </w:r>
          </w:p>
        </w:tc>
        <w:tc>
          <w:tcPr>
            <w:tcW w:w="3686" w:type="dxa"/>
            <w:shd w:val="clear" w:color="auto" w:fill="auto"/>
          </w:tcPr>
          <w:p w:rsidR="0094267C" w:rsidRPr="00304F4C" w:rsidRDefault="0094267C" w:rsidP="0094267C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  <w:r w:rsidRPr="0094267C">
              <w:rPr>
                <w:rFonts w:ascii="メイリオ" w:eastAsia="メイリオ" w:hAnsi="メイリオ" w:cs="メイリオ" w:hint="eastAsia"/>
              </w:rPr>
              <w:t>処理施設のコンクリート表面及び内部の腐食状況を把握して必要な対策工法を検討し、工事発注に必要な詳細設計を行う業務</w:t>
            </w:r>
            <w:r>
              <w:rPr>
                <w:rFonts w:ascii="メイリオ" w:eastAsia="メイリオ" w:hAnsi="メイリオ" w:cs="メイリオ" w:hint="eastAsia"/>
              </w:rPr>
              <w:t>。</w:t>
            </w:r>
          </w:p>
        </w:tc>
        <w:tc>
          <w:tcPr>
            <w:tcW w:w="2409" w:type="dxa"/>
            <w:vMerge/>
            <w:vAlign w:val="center"/>
          </w:tcPr>
          <w:p w:rsidR="0094267C" w:rsidRPr="00304F4C" w:rsidRDefault="0094267C" w:rsidP="008A047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AB754D" w:rsidRPr="00304F4C" w:rsidRDefault="008215E6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>※上記は、あくまでも予定です。変更されることがあります</w:t>
      </w:r>
      <w:r w:rsidR="00C603E9" w:rsidRPr="00304F4C">
        <w:rPr>
          <w:rFonts w:ascii="メイリオ" w:eastAsia="メイリオ" w:hAnsi="メイリオ" w:cs="メイリオ" w:hint="eastAsia"/>
          <w:szCs w:val="21"/>
        </w:rPr>
        <w:t>ので正式には</w:t>
      </w:r>
      <w:r w:rsidR="00046715" w:rsidRPr="00304F4C">
        <w:rPr>
          <w:rFonts w:ascii="メイリオ" w:eastAsia="メイリオ" w:hAnsi="メイリオ" w:cs="メイリオ" w:hint="eastAsia"/>
          <w:szCs w:val="21"/>
        </w:rPr>
        <w:t>入札</w:t>
      </w:r>
      <w:r w:rsidR="00C603E9" w:rsidRPr="00304F4C">
        <w:rPr>
          <w:rFonts w:ascii="メイリオ" w:eastAsia="メイリオ" w:hAnsi="メイリオ" w:cs="メイリオ" w:hint="eastAsia"/>
          <w:szCs w:val="21"/>
        </w:rPr>
        <w:t>公告</w:t>
      </w:r>
      <w:r w:rsidR="00046715" w:rsidRPr="00304F4C">
        <w:rPr>
          <w:rFonts w:ascii="メイリオ" w:eastAsia="メイリオ" w:hAnsi="メイリオ" w:cs="メイリオ" w:hint="eastAsia"/>
          <w:szCs w:val="21"/>
        </w:rPr>
        <w:t>情報</w:t>
      </w:r>
      <w:r w:rsidR="00C603E9" w:rsidRPr="00304F4C">
        <w:rPr>
          <w:rFonts w:ascii="メイリオ" w:eastAsia="メイリオ" w:hAnsi="メイリオ" w:cs="メイリオ" w:hint="eastAsia"/>
          <w:szCs w:val="21"/>
        </w:rPr>
        <w:t>をご確認ください</w:t>
      </w:r>
      <w:r w:rsidRPr="00304F4C">
        <w:rPr>
          <w:rFonts w:ascii="メイリオ" w:eastAsia="メイリオ" w:hAnsi="メイリオ" w:cs="メイリオ" w:hint="eastAsia"/>
          <w:szCs w:val="21"/>
        </w:rPr>
        <w:t>。</w:t>
      </w:r>
    </w:p>
    <w:p w:rsidR="009C0F76" w:rsidRPr="00304F4C" w:rsidRDefault="009C0F76">
      <w:pPr>
        <w:rPr>
          <w:rFonts w:ascii="メイリオ" w:eastAsia="メイリオ" w:hAnsi="メイリオ" w:cs="メイリオ"/>
          <w:szCs w:val="21"/>
        </w:rPr>
      </w:pPr>
    </w:p>
    <w:p w:rsidR="009C0F76" w:rsidRPr="00304F4C" w:rsidRDefault="009C0F76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>【関連するホームページ】</w:t>
      </w:r>
    </w:p>
    <w:p w:rsidR="009C0F76" w:rsidRPr="00304F4C" w:rsidRDefault="009C0F76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 xml:space="preserve">電子入札に関すること　</w:t>
      </w:r>
      <w:hyperlink r:id="rId9" w:history="1">
        <w:r w:rsidRPr="00304F4C">
          <w:rPr>
            <w:rStyle w:val="a8"/>
            <w:rFonts w:ascii="メイリオ" w:eastAsia="メイリオ" w:hAnsi="メイリオ" w:cs="メイリオ"/>
            <w:szCs w:val="21"/>
          </w:rPr>
          <w:t>http://www.nyusatsu.pref.osaka.jp/keiyaku/e-nyusatsu/</w:t>
        </w:r>
      </w:hyperlink>
    </w:p>
    <w:p w:rsidR="009C0F76" w:rsidRPr="00304F4C" w:rsidRDefault="009C0F76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 xml:space="preserve">北部流域下水道事務所　</w:t>
      </w:r>
      <w:hyperlink r:id="rId10" w:history="1">
        <w:r w:rsidRPr="00304F4C">
          <w:rPr>
            <w:rStyle w:val="a8"/>
            <w:rFonts w:ascii="メイリオ" w:eastAsia="メイリオ" w:hAnsi="メイリオ" w:cs="メイリオ"/>
            <w:szCs w:val="21"/>
          </w:rPr>
          <w:t>http://www.pref.osaka.jp/hokubugesui/shokai.html</w:t>
        </w:r>
      </w:hyperlink>
    </w:p>
    <w:p w:rsidR="009C0F76" w:rsidRPr="00304F4C" w:rsidRDefault="009C0F76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 xml:space="preserve">東部流域下水道事務所　</w:t>
      </w:r>
      <w:hyperlink r:id="rId11" w:history="1">
        <w:r w:rsidRPr="00304F4C">
          <w:rPr>
            <w:rStyle w:val="a8"/>
            <w:rFonts w:ascii="メイリオ" w:eastAsia="メイリオ" w:hAnsi="メイリオ" w:cs="メイリオ"/>
            <w:szCs w:val="21"/>
          </w:rPr>
          <w:t>http://www.pref.osaka.jp/tobugesui/shokai.html</w:t>
        </w:r>
      </w:hyperlink>
    </w:p>
    <w:p w:rsidR="009C0F76" w:rsidRPr="00304F4C" w:rsidRDefault="009C0F76">
      <w:pPr>
        <w:rPr>
          <w:rFonts w:ascii="メイリオ" w:eastAsia="メイリオ" w:hAnsi="メイリオ" w:cs="メイリオ"/>
          <w:szCs w:val="21"/>
        </w:rPr>
      </w:pPr>
      <w:r w:rsidRPr="00304F4C">
        <w:rPr>
          <w:rFonts w:ascii="メイリオ" w:eastAsia="メイリオ" w:hAnsi="メイリオ" w:cs="メイリオ" w:hint="eastAsia"/>
          <w:szCs w:val="21"/>
        </w:rPr>
        <w:t xml:space="preserve">南部流域下水道事務所　</w:t>
      </w:r>
      <w:hyperlink r:id="rId12" w:history="1">
        <w:r w:rsidRPr="00304F4C">
          <w:rPr>
            <w:rStyle w:val="a8"/>
            <w:rFonts w:ascii="メイリオ" w:eastAsia="メイリオ" w:hAnsi="メイリオ" w:cs="メイリオ"/>
            <w:szCs w:val="21"/>
          </w:rPr>
          <w:t>http://www.pref.osaka.jp/nambugesui/shokai.html</w:t>
        </w:r>
      </w:hyperlink>
    </w:p>
    <w:sectPr w:rsidR="009C0F76" w:rsidRPr="00304F4C" w:rsidSect="00304F4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5F" w:rsidRDefault="00DC1E5F" w:rsidP="00C603E9">
      <w:r>
        <w:separator/>
      </w:r>
    </w:p>
  </w:endnote>
  <w:endnote w:type="continuationSeparator" w:id="0">
    <w:p w:rsidR="00DC1E5F" w:rsidRDefault="00DC1E5F" w:rsidP="00C6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5F" w:rsidRDefault="00DC1E5F" w:rsidP="00C603E9">
      <w:r>
        <w:separator/>
      </w:r>
    </w:p>
  </w:footnote>
  <w:footnote w:type="continuationSeparator" w:id="0">
    <w:p w:rsidR="00DC1E5F" w:rsidRDefault="00DC1E5F" w:rsidP="00C6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932"/>
    <w:multiLevelType w:val="hybridMultilevel"/>
    <w:tmpl w:val="9866F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9C540F"/>
    <w:multiLevelType w:val="hybridMultilevel"/>
    <w:tmpl w:val="375AD4AE"/>
    <w:lvl w:ilvl="0" w:tplc="3602517A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B2"/>
    <w:rsid w:val="00025F70"/>
    <w:rsid w:val="00046715"/>
    <w:rsid w:val="00055C86"/>
    <w:rsid w:val="000D64E3"/>
    <w:rsid w:val="00181FDA"/>
    <w:rsid w:val="001B01FE"/>
    <w:rsid w:val="0027664C"/>
    <w:rsid w:val="00286770"/>
    <w:rsid w:val="002B62C3"/>
    <w:rsid w:val="00303F63"/>
    <w:rsid w:val="00304F4C"/>
    <w:rsid w:val="003901B1"/>
    <w:rsid w:val="003E57EA"/>
    <w:rsid w:val="004942BA"/>
    <w:rsid w:val="0056646B"/>
    <w:rsid w:val="0056730A"/>
    <w:rsid w:val="005E734F"/>
    <w:rsid w:val="006F56C3"/>
    <w:rsid w:val="0073573C"/>
    <w:rsid w:val="007C348E"/>
    <w:rsid w:val="007C49B2"/>
    <w:rsid w:val="007E6160"/>
    <w:rsid w:val="007F6720"/>
    <w:rsid w:val="008215E6"/>
    <w:rsid w:val="00823E86"/>
    <w:rsid w:val="0094267C"/>
    <w:rsid w:val="009C0F76"/>
    <w:rsid w:val="009F6906"/>
    <w:rsid w:val="00A42238"/>
    <w:rsid w:val="00A9324A"/>
    <w:rsid w:val="00AA5624"/>
    <w:rsid w:val="00AB754D"/>
    <w:rsid w:val="00BE278C"/>
    <w:rsid w:val="00C22500"/>
    <w:rsid w:val="00C35FFF"/>
    <w:rsid w:val="00C603E9"/>
    <w:rsid w:val="00D423A5"/>
    <w:rsid w:val="00DA05E4"/>
    <w:rsid w:val="00DC1E5F"/>
    <w:rsid w:val="00E11657"/>
    <w:rsid w:val="00E423C3"/>
    <w:rsid w:val="00EC4D2C"/>
    <w:rsid w:val="00E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3E9"/>
  </w:style>
  <w:style w:type="paragraph" w:styleId="a6">
    <w:name w:val="footer"/>
    <w:basedOn w:val="a"/>
    <w:link w:val="a7"/>
    <w:uiPriority w:val="99"/>
    <w:unhideWhenUsed/>
    <w:rsid w:val="00C60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3E9"/>
  </w:style>
  <w:style w:type="character" w:styleId="a8">
    <w:name w:val="Hyperlink"/>
    <w:basedOn w:val="a0"/>
    <w:uiPriority w:val="99"/>
    <w:unhideWhenUsed/>
    <w:rsid w:val="009C0F7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B01F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42B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03F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3E9"/>
  </w:style>
  <w:style w:type="paragraph" w:styleId="a6">
    <w:name w:val="footer"/>
    <w:basedOn w:val="a"/>
    <w:link w:val="a7"/>
    <w:uiPriority w:val="99"/>
    <w:unhideWhenUsed/>
    <w:rsid w:val="00C60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3E9"/>
  </w:style>
  <w:style w:type="character" w:styleId="a8">
    <w:name w:val="Hyperlink"/>
    <w:basedOn w:val="a0"/>
    <w:uiPriority w:val="99"/>
    <w:unhideWhenUsed/>
    <w:rsid w:val="009C0F7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B01F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42B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03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f.osaka.jp/nambugesui/shoka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osaka.jp/tobugesui/shoka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ef.osaka.jp/hokubugesui/shoka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yusatsu.pref.osaka.jp/keiyaku/e-nyusat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440C-D96B-41A4-ABB8-D04A4AF1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2014-06-12T11:20:00Z</cp:lastPrinted>
  <dcterms:created xsi:type="dcterms:W3CDTF">2014-06-12T11:21:00Z</dcterms:created>
  <dcterms:modified xsi:type="dcterms:W3CDTF">2014-06-12T11:21:00Z</dcterms:modified>
</cp:coreProperties>
</file>