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B2" w:rsidRDefault="00F67DB2" w:rsidP="00F67DB2">
      <w:pPr>
        <w:jc w:val="center"/>
      </w:pPr>
      <w:r>
        <w:rPr>
          <w:rFonts w:hint="eastAsia"/>
        </w:rPr>
        <w:t>大阪府都市基盤施設維持</w:t>
      </w:r>
      <w:r w:rsidR="00136EC5">
        <w:rPr>
          <w:rFonts w:hint="eastAsia"/>
        </w:rPr>
        <w:t>管理</w:t>
      </w:r>
      <w:r>
        <w:rPr>
          <w:rFonts w:hint="eastAsia"/>
        </w:rPr>
        <w:t>技術審議会</w:t>
      </w:r>
    </w:p>
    <w:p w:rsidR="0047095B" w:rsidRDefault="00F67DB2" w:rsidP="00F67DB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「中間とりまとめ」以降の審議のポイント</w:t>
      </w:r>
    </w:p>
    <w:p w:rsidR="00890651" w:rsidRPr="00C76A8D" w:rsidRDefault="00890651" w:rsidP="0089065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w:t>
      </w:r>
      <w:r w:rsidRPr="00C76A8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効率的・効果的な維持管理の推進</w:t>
      </w:r>
    </w:p>
    <w:tbl>
      <w:tblPr>
        <w:tblStyle w:val="af"/>
        <w:tblW w:w="9180" w:type="dxa"/>
        <w:tblLook w:val="04A0" w:firstRow="1" w:lastRow="0" w:firstColumn="1" w:lastColumn="0" w:noHBand="0" w:noVBand="1"/>
      </w:tblPr>
      <w:tblGrid>
        <w:gridCol w:w="4503"/>
        <w:gridCol w:w="3685"/>
        <w:gridCol w:w="992"/>
      </w:tblGrid>
      <w:tr w:rsidR="00890651" w:rsidRPr="00C76A8D" w:rsidTr="00E6415C">
        <w:tc>
          <w:tcPr>
            <w:tcW w:w="4503" w:type="dxa"/>
            <w:shd w:val="clear" w:color="auto" w:fill="D9D9D9" w:themeFill="background1" w:themeFillShade="D9"/>
          </w:tcPr>
          <w:p w:rsidR="00890651" w:rsidRPr="00C76A8D" w:rsidRDefault="00890651" w:rsidP="00E6415C">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意見等</w:t>
            </w:r>
          </w:p>
        </w:tc>
        <w:tc>
          <w:tcPr>
            <w:tcW w:w="3685" w:type="dxa"/>
            <w:shd w:val="clear" w:color="auto" w:fill="D9D9D9" w:themeFill="background1" w:themeFillShade="D9"/>
          </w:tcPr>
          <w:p w:rsidR="00890651" w:rsidRPr="00C76A8D" w:rsidRDefault="00890651" w:rsidP="00E6415C">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対応</w:t>
            </w:r>
          </w:p>
        </w:tc>
        <w:tc>
          <w:tcPr>
            <w:tcW w:w="992" w:type="dxa"/>
            <w:shd w:val="clear" w:color="auto" w:fill="D9D9D9" w:themeFill="background1" w:themeFillShade="D9"/>
          </w:tcPr>
          <w:p w:rsidR="00890651" w:rsidRPr="00C76A8D" w:rsidRDefault="00890651" w:rsidP="00E6415C">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掲載頁</w:t>
            </w:r>
          </w:p>
        </w:tc>
      </w:tr>
      <w:tr w:rsidR="00890651" w:rsidRPr="00F67DB2" w:rsidTr="00E6415C">
        <w:tc>
          <w:tcPr>
            <w:tcW w:w="4503" w:type="dxa"/>
          </w:tcPr>
          <w:p w:rsidR="00890651" w:rsidRPr="00F67DB2" w:rsidRDefault="00890651" w:rsidP="00E6415C">
            <w:pPr>
              <w:spacing w:line="320" w:lineRule="exact"/>
              <w:rPr>
                <w:sz w:val="20"/>
                <w:szCs w:val="20"/>
              </w:rPr>
            </w:pPr>
            <w:r>
              <w:rPr>
                <w:rFonts w:hint="eastAsia"/>
                <w:sz w:val="20"/>
                <w:szCs w:val="20"/>
              </w:rPr>
              <w:t>（</w:t>
            </w:r>
            <w:r>
              <w:rPr>
                <w:rFonts w:hint="eastAsia"/>
                <w:sz w:val="20"/>
                <w:szCs w:val="20"/>
              </w:rPr>
              <w:t>P.34</w:t>
            </w:r>
            <w:r>
              <w:rPr>
                <w:rFonts w:hint="eastAsia"/>
                <w:sz w:val="20"/>
                <w:szCs w:val="20"/>
              </w:rPr>
              <w:t>）</w:t>
            </w:r>
            <w:r>
              <w:rPr>
                <w:rFonts w:hint="eastAsia"/>
                <w:sz w:val="20"/>
                <w:szCs w:val="20"/>
              </w:rPr>
              <w:t xml:space="preserve"> </w:t>
            </w:r>
            <w:r>
              <w:rPr>
                <w:rFonts w:hint="eastAsia"/>
                <w:sz w:val="20"/>
                <w:szCs w:val="20"/>
              </w:rPr>
              <w:t>実施面では今すぐに取組を実践できるもののほか、維持管理データの蓄積や科学的、専門的な知見の高まり等により段階的に取組が実現できるものもあることから、その実現のプロセスを明確にし、段階的に充実を図り、継続的に見直していく必要がある。</w:t>
            </w:r>
          </w:p>
        </w:tc>
        <w:tc>
          <w:tcPr>
            <w:tcW w:w="3685" w:type="dxa"/>
          </w:tcPr>
          <w:p w:rsidR="00890651" w:rsidRPr="00F67DB2" w:rsidRDefault="00890651" w:rsidP="00E6415C">
            <w:pPr>
              <w:spacing w:line="320" w:lineRule="exact"/>
              <w:rPr>
                <w:sz w:val="20"/>
                <w:szCs w:val="20"/>
              </w:rPr>
            </w:pPr>
            <w:r>
              <w:rPr>
                <w:rFonts w:hint="eastAsia"/>
                <w:sz w:val="20"/>
                <w:szCs w:val="20"/>
              </w:rPr>
              <w:t>主な取組のロードマップ（イメージ）として、図を追記した。</w:t>
            </w:r>
          </w:p>
        </w:tc>
        <w:tc>
          <w:tcPr>
            <w:tcW w:w="992" w:type="dxa"/>
          </w:tcPr>
          <w:p w:rsidR="00890651" w:rsidRDefault="00890651" w:rsidP="00E6415C">
            <w:pPr>
              <w:spacing w:line="320" w:lineRule="exact"/>
              <w:rPr>
                <w:sz w:val="20"/>
                <w:szCs w:val="20"/>
              </w:rPr>
            </w:pPr>
            <w:r>
              <w:rPr>
                <w:rFonts w:hint="eastAsia"/>
                <w:sz w:val="20"/>
                <w:szCs w:val="20"/>
              </w:rPr>
              <w:t>P.35</w:t>
            </w:r>
          </w:p>
          <w:p w:rsidR="00890651" w:rsidRDefault="00890651" w:rsidP="00E6415C">
            <w:pPr>
              <w:spacing w:line="320" w:lineRule="exact"/>
              <w:rPr>
                <w:sz w:val="20"/>
                <w:szCs w:val="20"/>
              </w:rPr>
            </w:pPr>
          </w:p>
          <w:p w:rsidR="00890651" w:rsidRPr="00F67DB2" w:rsidRDefault="00890651" w:rsidP="00E6415C">
            <w:pPr>
              <w:spacing w:line="320" w:lineRule="exact"/>
              <w:rPr>
                <w:sz w:val="20"/>
                <w:szCs w:val="20"/>
              </w:rPr>
            </w:pPr>
            <w:r>
              <w:rPr>
                <w:rFonts w:hint="eastAsia"/>
                <w:sz w:val="20"/>
                <w:szCs w:val="20"/>
              </w:rPr>
              <w:t>P.67</w:t>
            </w:r>
          </w:p>
        </w:tc>
      </w:tr>
    </w:tbl>
    <w:p w:rsidR="00B041AB" w:rsidRPr="00F67DB2" w:rsidRDefault="00B041AB" w:rsidP="00F67DB2"/>
    <w:p w:rsidR="00F67DB2" w:rsidRPr="00C76A8D" w:rsidRDefault="00F67DB2" w:rsidP="00F67DB2">
      <w:pPr>
        <w:rPr>
          <w:rFonts w:ascii="HG丸ｺﾞｼｯｸM-PRO" w:eastAsia="HG丸ｺﾞｼｯｸM-PRO" w:hAnsi="HG丸ｺﾞｼｯｸM-PRO"/>
          <w:sz w:val="28"/>
          <w:szCs w:val="28"/>
        </w:rPr>
      </w:pPr>
      <w:r w:rsidRPr="00C76A8D">
        <w:rPr>
          <w:rFonts w:ascii="HG丸ｺﾞｼｯｸM-PRO" w:eastAsia="HG丸ｺﾞｼｯｸM-PRO" w:hAnsi="HG丸ｺﾞｼｯｸM-PRO" w:hint="eastAsia"/>
          <w:sz w:val="28"/>
          <w:szCs w:val="28"/>
        </w:rPr>
        <w:t>4.2　施設特性に応じた維持管理手法の体系化</w:t>
      </w:r>
    </w:p>
    <w:tbl>
      <w:tblPr>
        <w:tblStyle w:val="af"/>
        <w:tblW w:w="9180" w:type="dxa"/>
        <w:tblLook w:val="04A0" w:firstRow="1" w:lastRow="0" w:firstColumn="1" w:lastColumn="0" w:noHBand="0" w:noVBand="1"/>
      </w:tblPr>
      <w:tblGrid>
        <w:gridCol w:w="4503"/>
        <w:gridCol w:w="3685"/>
        <w:gridCol w:w="992"/>
      </w:tblGrid>
      <w:tr w:rsidR="0033583A" w:rsidRPr="00C76A8D" w:rsidTr="0033583A">
        <w:tc>
          <w:tcPr>
            <w:tcW w:w="4503" w:type="dxa"/>
            <w:shd w:val="clear" w:color="auto" w:fill="D9D9D9" w:themeFill="background1" w:themeFillShade="D9"/>
          </w:tcPr>
          <w:p w:rsidR="0033583A" w:rsidRPr="00C76A8D" w:rsidRDefault="0033583A" w:rsidP="001F714F">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意見等</w:t>
            </w:r>
          </w:p>
        </w:tc>
        <w:tc>
          <w:tcPr>
            <w:tcW w:w="3685" w:type="dxa"/>
            <w:shd w:val="clear" w:color="auto" w:fill="D9D9D9" w:themeFill="background1" w:themeFillShade="D9"/>
          </w:tcPr>
          <w:p w:rsidR="0033583A" w:rsidRPr="00C76A8D" w:rsidRDefault="0033583A" w:rsidP="001F714F">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対応</w:t>
            </w:r>
          </w:p>
        </w:tc>
        <w:tc>
          <w:tcPr>
            <w:tcW w:w="992" w:type="dxa"/>
            <w:shd w:val="clear" w:color="auto" w:fill="D9D9D9" w:themeFill="background1" w:themeFillShade="D9"/>
          </w:tcPr>
          <w:p w:rsidR="0033583A" w:rsidRPr="00C76A8D" w:rsidRDefault="0033583A" w:rsidP="001F714F">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掲載頁</w:t>
            </w:r>
          </w:p>
        </w:tc>
      </w:tr>
      <w:tr w:rsidR="0033583A" w:rsidRPr="00F67DB2" w:rsidTr="0033583A">
        <w:tc>
          <w:tcPr>
            <w:tcW w:w="4503" w:type="dxa"/>
          </w:tcPr>
          <w:p w:rsidR="0033583A" w:rsidRPr="00F67DB2" w:rsidRDefault="0033583A" w:rsidP="001F714F">
            <w:pPr>
              <w:spacing w:line="320" w:lineRule="exact"/>
              <w:rPr>
                <w:sz w:val="20"/>
                <w:szCs w:val="20"/>
              </w:rPr>
            </w:pPr>
            <w:r>
              <w:rPr>
                <w:rFonts w:hint="eastAsia"/>
                <w:sz w:val="20"/>
                <w:szCs w:val="20"/>
              </w:rPr>
              <w:t>予測計画型と状態監視型では、目標管理水準が、必ず異なるように受け取られるのではないか</w:t>
            </w:r>
          </w:p>
        </w:tc>
        <w:tc>
          <w:tcPr>
            <w:tcW w:w="3685" w:type="dxa"/>
          </w:tcPr>
          <w:p w:rsidR="0033583A" w:rsidRPr="00F67DB2" w:rsidRDefault="00957D8D" w:rsidP="001F714F">
            <w:pPr>
              <w:spacing w:line="320" w:lineRule="exact"/>
              <w:rPr>
                <w:sz w:val="20"/>
                <w:szCs w:val="20"/>
              </w:rPr>
            </w:pPr>
            <w:r>
              <w:rPr>
                <w:rFonts w:hint="eastAsia"/>
                <w:sz w:val="20"/>
                <w:szCs w:val="20"/>
              </w:rPr>
              <w:t>イメージが先行し、誤解を招く恐れがあるため、図を削除し</w:t>
            </w:r>
            <w:r w:rsidR="00890651">
              <w:rPr>
                <w:rFonts w:hint="eastAsia"/>
                <w:sz w:val="20"/>
                <w:szCs w:val="20"/>
              </w:rPr>
              <w:t>説明を追記し</w:t>
            </w:r>
            <w:r>
              <w:rPr>
                <w:rFonts w:hint="eastAsia"/>
                <w:sz w:val="20"/>
                <w:szCs w:val="20"/>
              </w:rPr>
              <w:t>た。</w:t>
            </w:r>
          </w:p>
        </w:tc>
        <w:tc>
          <w:tcPr>
            <w:tcW w:w="992" w:type="dxa"/>
          </w:tcPr>
          <w:p w:rsidR="0033583A" w:rsidRPr="00F67DB2" w:rsidRDefault="009F64BD" w:rsidP="001F714F">
            <w:pPr>
              <w:spacing w:line="320" w:lineRule="exact"/>
              <w:rPr>
                <w:sz w:val="20"/>
                <w:szCs w:val="20"/>
              </w:rPr>
            </w:pPr>
            <w:r>
              <w:rPr>
                <w:rFonts w:hint="eastAsia"/>
                <w:sz w:val="20"/>
                <w:szCs w:val="20"/>
              </w:rPr>
              <w:t>P.48</w:t>
            </w:r>
          </w:p>
        </w:tc>
      </w:tr>
      <w:tr w:rsidR="0033583A" w:rsidRPr="00F67DB2" w:rsidTr="0033583A">
        <w:tc>
          <w:tcPr>
            <w:tcW w:w="4503" w:type="dxa"/>
          </w:tcPr>
          <w:p w:rsidR="0033583A" w:rsidRDefault="0033583A" w:rsidP="00960A4B">
            <w:pPr>
              <w:spacing w:line="320" w:lineRule="exact"/>
              <w:rPr>
                <w:sz w:val="20"/>
                <w:szCs w:val="20"/>
              </w:rPr>
            </w:pPr>
            <w:r w:rsidRPr="001F714F">
              <w:rPr>
                <w:rFonts w:hint="eastAsia"/>
                <w:sz w:val="20"/>
                <w:szCs w:val="20"/>
              </w:rPr>
              <w:t>「</w:t>
            </w:r>
            <w:r w:rsidRPr="001F714F">
              <w:rPr>
                <w:rFonts w:hint="eastAsia"/>
                <w:sz w:val="20"/>
                <w:szCs w:val="20"/>
              </w:rPr>
              <w:t>(2)</w:t>
            </w:r>
            <w:r w:rsidRPr="001F714F">
              <w:rPr>
                <w:rFonts w:hint="eastAsia"/>
                <w:sz w:val="20"/>
                <w:szCs w:val="20"/>
              </w:rPr>
              <w:t xml:space="preserve">　更新の考え方にあたっての留意事項」</w:t>
            </w:r>
            <w:r>
              <w:rPr>
                <w:rFonts w:hint="eastAsia"/>
                <w:sz w:val="20"/>
                <w:szCs w:val="20"/>
              </w:rPr>
              <w:t>に「耐用年数の前後にある施設等を対象に」とあるが、耐用年数前後でなくても更新の必要性を検討しなければならない場合もあると考えられる。</w:t>
            </w:r>
          </w:p>
        </w:tc>
        <w:tc>
          <w:tcPr>
            <w:tcW w:w="3685" w:type="dxa"/>
          </w:tcPr>
          <w:p w:rsidR="00813B6B" w:rsidRDefault="00813B6B" w:rsidP="00960A4B">
            <w:pPr>
              <w:spacing w:line="320" w:lineRule="exact"/>
              <w:rPr>
                <w:rFonts w:hint="eastAsia"/>
                <w:sz w:val="20"/>
                <w:szCs w:val="20"/>
              </w:rPr>
            </w:pPr>
            <w:r>
              <w:rPr>
                <w:rFonts w:hint="eastAsia"/>
                <w:sz w:val="20"/>
                <w:szCs w:val="20"/>
              </w:rPr>
              <w:t>更新の要否は、施設の健全性と機能性等をもとに検討する必要がある。等</w:t>
            </w:r>
          </w:p>
          <w:p w:rsidR="00813B6B" w:rsidRPr="00B041AB" w:rsidRDefault="00813B6B" w:rsidP="00960A4B">
            <w:pPr>
              <w:spacing w:line="320" w:lineRule="exact"/>
              <w:rPr>
                <w:sz w:val="20"/>
                <w:szCs w:val="20"/>
              </w:rPr>
            </w:pPr>
            <w:r>
              <w:rPr>
                <w:rFonts w:hint="eastAsia"/>
                <w:sz w:val="20"/>
                <w:szCs w:val="20"/>
              </w:rPr>
              <w:t>修正を行った。</w:t>
            </w:r>
          </w:p>
        </w:tc>
        <w:tc>
          <w:tcPr>
            <w:tcW w:w="992" w:type="dxa"/>
          </w:tcPr>
          <w:p w:rsidR="0033583A" w:rsidRDefault="009F64BD" w:rsidP="00960A4B">
            <w:pPr>
              <w:spacing w:line="320" w:lineRule="exact"/>
              <w:rPr>
                <w:sz w:val="20"/>
                <w:szCs w:val="20"/>
              </w:rPr>
            </w:pPr>
            <w:r>
              <w:rPr>
                <w:rFonts w:hint="eastAsia"/>
                <w:sz w:val="20"/>
                <w:szCs w:val="20"/>
              </w:rPr>
              <w:t>P.55</w:t>
            </w:r>
          </w:p>
        </w:tc>
        <w:bookmarkStart w:id="0" w:name="_GoBack"/>
        <w:bookmarkEnd w:id="0"/>
      </w:tr>
      <w:tr w:rsidR="0033583A" w:rsidRPr="00F67DB2" w:rsidTr="0033583A">
        <w:trPr>
          <w:trHeight w:val="3200"/>
        </w:trPr>
        <w:tc>
          <w:tcPr>
            <w:tcW w:w="4503" w:type="dxa"/>
          </w:tcPr>
          <w:p w:rsidR="0033583A" w:rsidRPr="00F67DB2" w:rsidRDefault="0033583A" w:rsidP="001F714F">
            <w:pPr>
              <w:spacing w:line="320" w:lineRule="exact"/>
              <w:rPr>
                <w:sz w:val="20"/>
                <w:szCs w:val="20"/>
              </w:rPr>
            </w:pPr>
            <w:r w:rsidRPr="00F67DB2">
              <w:rPr>
                <w:rFonts w:hint="eastAsia"/>
                <w:sz w:val="20"/>
                <w:szCs w:val="20"/>
              </w:rPr>
              <w:t>更新の考え方に基づき、各分野部会で分野施設毎の更新の考え方を整理頂いているが、今後、それら考え方を踏まえて、具体的な施設で更新を見極めるための詳細な点検や調査などをモデル的に実施し、見極めるための必要データを整理すべき。</w:t>
            </w:r>
          </w:p>
        </w:tc>
        <w:tc>
          <w:tcPr>
            <w:tcW w:w="3685" w:type="dxa"/>
          </w:tcPr>
          <w:p w:rsidR="0033583A" w:rsidRDefault="0033583A" w:rsidP="001F714F">
            <w:pPr>
              <w:spacing w:line="320" w:lineRule="exact"/>
              <w:rPr>
                <w:sz w:val="20"/>
                <w:szCs w:val="20"/>
              </w:rPr>
            </w:pPr>
            <w:r w:rsidRPr="007739DC">
              <w:rPr>
                <w:rFonts w:hint="eastAsia"/>
                <w:sz w:val="20"/>
                <w:szCs w:val="20"/>
              </w:rPr>
              <w:t>「</w:t>
            </w:r>
            <w:r w:rsidRPr="007739DC">
              <w:rPr>
                <w:rFonts w:hint="eastAsia"/>
                <w:sz w:val="20"/>
                <w:szCs w:val="20"/>
              </w:rPr>
              <w:t>(2)</w:t>
            </w:r>
            <w:r w:rsidRPr="007739DC">
              <w:rPr>
                <w:rFonts w:hint="eastAsia"/>
                <w:sz w:val="20"/>
                <w:szCs w:val="20"/>
              </w:rPr>
              <w:t xml:space="preserve">　更新の考え方にあたっての留意事項」に</w:t>
            </w:r>
            <w:r>
              <w:rPr>
                <w:rFonts w:hint="eastAsia"/>
                <w:sz w:val="20"/>
                <w:szCs w:val="20"/>
              </w:rPr>
              <w:t>以下の文章を追加した。</w:t>
            </w:r>
          </w:p>
          <w:p w:rsidR="0033583A" w:rsidRPr="00F67DB2" w:rsidRDefault="00813B6B" w:rsidP="001F714F">
            <w:pPr>
              <w:spacing w:line="320" w:lineRule="exact"/>
              <w:ind w:leftChars="100" w:left="210" w:firstLineChars="100" w:firstLine="200"/>
              <w:rPr>
                <w:sz w:val="20"/>
                <w:szCs w:val="20"/>
              </w:rPr>
            </w:pPr>
            <w:r>
              <w:rPr>
                <w:rFonts w:hint="eastAsia"/>
                <w:sz w:val="20"/>
                <w:szCs w:val="20"/>
              </w:rPr>
              <w:t>また、</w:t>
            </w:r>
            <w:r w:rsidR="0033583A" w:rsidRPr="00B041AB">
              <w:rPr>
                <w:rFonts w:hint="eastAsia"/>
                <w:sz w:val="20"/>
                <w:szCs w:val="20"/>
              </w:rPr>
              <w:t>施設毎の更新判定フローを必要に応じて設定するとともに、更新を見極めるための詳細な点検や調査、モニタリングなどを具体の施設を対象にモデル的に実施する等、更新を見極めるためのデータを蓄積・整理していくべきである。</w:t>
            </w:r>
          </w:p>
        </w:tc>
        <w:tc>
          <w:tcPr>
            <w:tcW w:w="992" w:type="dxa"/>
          </w:tcPr>
          <w:p w:rsidR="0033583A" w:rsidRPr="00F67DB2" w:rsidRDefault="009F64BD" w:rsidP="001F714F">
            <w:pPr>
              <w:spacing w:line="320" w:lineRule="exact"/>
              <w:rPr>
                <w:sz w:val="20"/>
                <w:szCs w:val="20"/>
              </w:rPr>
            </w:pPr>
            <w:r>
              <w:rPr>
                <w:rFonts w:hint="eastAsia"/>
                <w:sz w:val="20"/>
                <w:szCs w:val="20"/>
              </w:rPr>
              <w:t>P.55</w:t>
            </w:r>
          </w:p>
        </w:tc>
      </w:tr>
    </w:tbl>
    <w:p w:rsidR="007739DC" w:rsidRDefault="007739DC">
      <w:pPr>
        <w:widowControl/>
        <w:jc w:val="left"/>
      </w:pPr>
    </w:p>
    <w:p w:rsidR="00890651" w:rsidRDefault="00890651">
      <w:pPr>
        <w:widowControl/>
        <w:jc w:val="left"/>
      </w:pPr>
    </w:p>
    <w:p w:rsidR="00890651" w:rsidRDefault="00890651">
      <w:pPr>
        <w:widowControl/>
        <w:jc w:val="left"/>
      </w:pPr>
    </w:p>
    <w:p w:rsidR="00890651" w:rsidRDefault="00890651">
      <w:pPr>
        <w:widowControl/>
        <w:jc w:val="left"/>
      </w:pPr>
    </w:p>
    <w:p w:rsidR="00890651" w:rsidRDefault="00890651">
      <w:pPr>
        <w:widowControl/>
        <w:jc w:val="left"/>
      </w:pPr>
    </w:p>
    <w:p w:rsidR="00890651" w:rsidRDefault="00890651">
      <w:pPr>
        <w:widowControl/>
        <w:jc w:val="left"/>
      </w:pPr>
    </w:p>
    <w:p w:rsidR="00890651" w:rsidRDefault="00890651">
      <w:pPr>
        <w:widowControl/>
        <w:jc w:val="left"/>
      </w:pPr>
    </w:p>
    <w:p w:rsidR="00F67DB2" w:rsidRPr="00C76A8D" w:rsidRDefault="00C76A8D" w:rsidP="00F67DB2">
      <w:pPr>
        <w:rPr>
          <w:rFonts w:ascii="HG丸ｺﾞｼｯｸM-PRO" w:eastAsia="HG丸ｺﾞｼｯｸM-PRO" w:hAnsi="HG丸ｺﾞｼｯｸM-PRO"/>
          <w:sz w:val="28"/>
          <w:szCs w:val="28"/>
        </w:rPr>
      </w:pPr>
      <w:r w:rsidRPr="00C76A8D">
        <w:rPr>
          <w:rFonts w:ascii="HG丸ｺﾞｼｯｸM-PRO" w:eastAsia="HG丸ｺﾞｼｯｸM-PRO" w:hAnsi="HG丸ｺﾞｼｯｸM-PRO" w:hint="eastAsia"/>
          <w:sz w:val="28"/>
          <w:szCs w:val="28"/>
        </w:rPr>
        <w:lastRenderedPageBreak/>
        <w:t>4.4　日常的な維持管理の着実な実践</w:t>
      </w:r>
    </w:p>
    <w:tbl>
      <w:tblPr>
        <w:tblStyle w:val="af"/>
        <w:tblW w:w="9180" w:type="dxa"/>
        <w:tblLook w:val="04A0" w:firstRow="1" w:lastRow="0" w:firstColumn="1" w:lastColumn="0" w:noHBand="0" w:noVBand="1"/>
      </w:tblPr>
      <w:tblGrid>
        <w:gridCol w:w="2943"/>
        <w:gridCol w:w="5387"/>
        <w:gridCol w:w="850"/>
      </w:tblGrid>
      <w:tr w:rsidR="0033583A" w:rsidRPr="00C76A8D" w:rsidTr="00890651">
        <w:tc>
          <w:tcPr>
            <w:tcW w:w="2943" w:type="dxa"/>
            <w:shd w:val="clear" w:color="auto" w:fill="D9D9D9" w:themeFill="background1" w:themeFillShade="D9"/>
          </w:tcPr>
          <w:p w:rsidR="0033583A" w:rsidRPr="00C76A8D" w:rsidRDefault="0033583A" w:rsidP="00070544">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意見等</w:t>
            </w:r>
          </w:p>
        </w:tc>
        <w:tc>
          <w:tcPr>
            <w:tcW w:w="5387" w:type="dxa"/>
            <w:shd w:val="clear" w:color="auto" w:fill="D9D9D9" w:themeFill="background1" w:themeFillShade="D9"/>
          </w:tcPr>
          <w:p w:rsidR="0033583A" w:rsidRPr="00C76A8D" w:rsidRDefault="0033583A" w:rsidP="00070544">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対応</w:t>
            </w:r>
          </w:p>
        </w:tc>
        <w:tc>
          <w:tcPr>
            <w:tcW w:w="850" w:type="dxa"/>
            <w:shd w:val="clear" w:color="auto" w:fill="D9D9D9" w:themeFill="background1" w:themeFillShade="D9"/>
          </w:tcPr>
          <w:p w:rsidR="0033583A" w:rsidRPr="00C76A8D" w:rsidRDefault="0033583A" w:rsidP="00070544">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掲載頁</w:t>
            </w:r>
          </w:p>
        </w:tc>
      </w:tr>
      <w:tr w:rsidR="0033583A" w:rsidRPr="00F67DB2" w:rsidTr="00890651">
        <w:tc>
          <w:tcPr>
            <w:tcW w:w="2943" w:type="dxa"/>
          </w:tcPr>
          <w:p w:rsidR="0033583A" w:rsidRPr="00F67DB2" w:rsidRDefault="0033583A" w:rsidP="00070544">
            <w:pPr>
              <w:spacing w:line="320" w:lineRule="exact"/>
              <w:rPr>
                <w:sz w:val="20"/>
                <w:szCs w:val="20"/>
              </w:rPr>
            </w:pPr>
            <w:r w:rsidRPr="00C76A8D">
              <w:rPr>
                <w:rFonts w:hint="eastAsia"/>
                <w:sz w:val="20"/>
                <w:szCs w:val="20"/>
              </w:rPr>
              <w:t>継続的にデータを蓄積・分析し、ノウハウを蓄積する体制など枠組みについては、国の審議会でも示されているように、府のみならず、公益法人などの技術センターなど公共性のあるセクターの活用も含めて検討が必要。</w:t>
            </w:r>
          </w:p>
        </w:tc>
        <w:tc>
          <w:tcPr>
            <w:tcW w:w="5387" w:type="dxa"/>
          </w:tcPr>
          <w:p w:rsidR="0033583A" w:rsidRPr="007739DC" w:rsidRDefault="0033583A" w:rsidP="00070544">
            <w:pPr>
              <w:spacing w:line="320" w:lineRule="exact"/>
              <w:rPr>
                <w:sz w:val="20"/>
                <w:szCs w:val="20"/>
              </w:rPr>
            </w:pPr>
            <w:r w:rsidRPr="007739DC">
              <w:rPr>
                <w:rFonts w:hint="eastAsia"/>
                <w:sz w:val="20"/>
                <w:szCs w:val="20"/>
              </w:rPr>
              <w:t>「</w:t>
            </w:r>
            <w:r w:rsidRPr="007739DC">
              <w:rPr>
                <w:rFonts w:hint="eastAsia"/>
                <w:sz w:val="20"/>
                <w:szCs w:val="20"/>
              </w:rPr>
              <w:t>5)</w:t>
            </w:r>
            <w:r w:rsidRPr="007739DC">
              <w:rPr>
                <w:rFonts w:hint="eastAsia"/>
                <w:sz w:val="20"/>
                <w:szCs w:val="20"/>
              </w:rPr>
              <w:t xml:space="preserve">　データ蓄積・管理体制の確立」</w:t>
            </w:r>
            <w:r>
              <w:rPr>
                <w:rFonts w:hint="eastAsia"/>
                <w:sz w:val="20"/>
                <w:szCs w:val="20"/>
              </w:rPr>
              <w:t>に、</w:t>
            </w:r>
            <w:r w:rsidRPr="007739DC">
              <w:rPr>
                <w:rFonts w:hint="eastAsia"/>
                <w:sz w:val="20"/>
                <w:szCs w:val="20"/>
              </w:rPr>
              <w:t>以下の文章を追加</w:t>
            </w:r>
            <w:r>
              <w:rPr>
                <w:rFonts w:hint="eastAsia"/>
                <w:sz w:val="20"/>
                <w:szCs w:val="20"/>
              </w:rPr>
              <w:t>した。</w:t>
            </w:r>
          </w:p>
          <w:p w:rsidR="0033583A" w:rsidRPr="00F67DB2" w:rsidRDefault="0033583A" w:rsidP="00FF0CB3">
            <w:pPr>
              <w:spacing w:line="320" w:lineRule="exact"/>
              <w:ind w:leftChars="100" w:left="210" w:firstLineChars="100" w:firstLine="200"/>
              <w:rPr>
                <w:sz w:val="20"/>
                <w:szCs w:val="20"/>
              </w:rPr>
            </w:pPr>
            <w:r w:rsidRPr="007739DC">
              <w:rPr>
                <w:rFonts w:hint="eastAsia"/>
                <w:sz w:val="20"/>
                <w:szCs w:val="20"/>
              </w:rPr>
              <w:t>しかしながら、将来的に、大阪府だけでなく市町村等の他管理者も含めて、より有効にデータを活用するためには、継続的、分野横断的、地域横断的に</w:t>
            </w:r>
            <w:r w:rsidR="00F03C3F">
              <w:rPr>
                <w:rFonts w:hint="eastAsia"/>
                <w:sz w:val="20"/>
                <w:szCs w:val="20"/>
              </w:rPr>
              <w:t>使用できる</w:t>
            </w:r>
            <w:r w:rsidRPr="007739DC">
              <w:rPr>
                <w:rFonts w:hint="eastAsia"/>
                <w:sz w:val="20"/>
                <w:szCs w:val="20"/>
              </w:rPr>
              <w:t>データを蓄積、分析し、ノウハウも蓄積する体制などの新たな枠組みが必要である。そのためには、大阪府のみならず公益法人（技術センター等）や大学等の公的な第三者機関を活用したデータ管理体制が有効である。</w:t>
            </w:r>
          </w:p>
        </w:tc>
        <w:tc>
          <w:tcPr>
            <w:tcW w:w="850" w:type="dxa"/>
          </w:tcPr>
          <w:p w:rsidR="0033583A" w:rsidRPr="00F67DB2" w:rsidRDefault="009F64BD" w:rsidP="00070544">
            <w:pPr>
              <w:spacing w:line="320" w:lineRule="exact"/>
              <w:rPr>
                <w:sz w:val="20"/>
                <w:szCs w:val="20"/>
              </w:rPr>
            </w:pPr>
            <w:r>
              <w:rPr>
                <w:rFonts w:hint="eastAsia"/>
                <w:sz w:val="20"/>
                <w:szCs w:val="20"/>
              </w:rPr>
              <w:t>P.64</w:t>
            </w:r>
          </w:p>
        </w:tc>
      </w:tr>
    </w:tbl>
    <w:p w:rsidR="00890651" w:rsidRDefault="00890651" w:rsidP="00F67DB2">
      <w:pPr>
        <w:rPr>
          <w:rFonts w:ascii="HG丸ｺﾞｼｯｸM-PRO" w:eastAsia="HG丸ｺﾞｼｯｸM-PRO" w:hAnsi="HG丸ｺﾞｼｯｸM-PRO"/>
          <w:sz w:val="28"/>
          <w:szCs w:val="28"/>
        </w:rPr>
      </w:pPr>
    </w:p>
    <w:p w:rsidR="00C76A8D" w:rsidRPr="00DE7DDB" w:rsidRDefault="00DE7DDB" w:rsidP="00F67DB2">
      <w:pPr>
        <w:rPr>
          <w:rFonts w:ascii="HG丸ｺﾞｼｯｸM-PRO" w:eastAsia="HG丸ｺﾞｼｯｸM-PRO" w:hAnsi="HG丸ｺﾞｼｯｸM-PRO"/>
          <w:sz w:val="28"/>
          <w:szCs w:val="28"/>
        </w:rPr>
      </w:pPr>
      <w:r w:rsidRPr="00DE7DDB">
        <w:rPr>
          <w:rFonts w:ascii="HG丸ｺﾞｼｯｸM-PRO" w:eastAsia="HG丸ｺﾞｼｯｸM-PRO" w:hAnsi="HG丸ｺﾞｼｯｸM-PRO" w:hint="eastAsia"/>
          <w:sz w:val="28"/>
          <w:szCs w:val="28"/>
        </w:rPr>
        <w:t>5.1　人材の育成と確保、技術力の向上と継承</w:t>
      </w:r>
    </w:p>
    <w:tbl>
      <w:tblPr>
        <w:tblStyle w:val="af"/>
        <w:tblW w:w="9180" w:type="dxa"/>
        <w:tblLook w:val="04A0" w:firstRow="1" w:lastRow="0" w:firstColumn="1" w:lastColumn="0" w:noHBand="0" w:noVBand="1"/>
      </w:tblPr>
      <w:tblGrid>
        <w:gridCol w:w="3227"/>
        <w:gridCol w:w="5103"/>
        <w:gridCol w:w="850"/>
      </w:tblGrid>
      <w:tr w:rsidR="0033583A" w:rsidRPr="00C76A8D" w:rsidTr="00890651">
        <w:tc>
          <w:tcPr>
            <w:tcW w:w="3227"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意見等</w:t>
            </w:r>
          </w:p>
        </w:tc>
        <w:tc>
          <w:tcPr>
            <w:tcW w:w="5103"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対応</w:t>
            </w:r>
          </w:p>
        </w:tc>
        <w:tc>
          <w:tcPr>
            <w:tcW w:w="850"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掲載頁</w:t>
            </w:r>
          </w:p>
        </w:tc>
      </w:tr>
      <w:tr w:rsidR="0033583A" w:rsidRPr="00F67DB2" w:rsidTr="00890651">
        <w:tc>
          <w:tcPr>
            <w:tcW w:w="3227" w:type="dxa"/>
          </w:tcPr>
          <w:p w:rsidR="0033583A" w:rsidRPr="00DE7DDB" w:rsidRDefault="00F06E24" w:rsidP="001E1DDD">
            <w:pPr>
              <w:spacing w:line="320" w:lineRule="exact"/>
              <w:rPr>
                <w:sz w:val="20"/>
                <w:szCs w:val="20"/>
              </w:rPr>
            </w:pPr>
            <w:r w:rsidRPr="00DE7DDB">
              <w:rPr>
                <w:rFonts w:hint="eastAsia"/>
                <w:sz w:val="20"/>
                <w:szCs w:val="20"/>
              </w:rPr>
              <w:t>研修が必ずしも技術力の向上につながる訳ではない。研修（の実施）が、確実に技術力向上に寄与するための仕組みを、（文章にはし難い部分はあると思うが）なんらかの形で触れるべきではないか。</w:t>
            </w:r>
          </w:p>
        </w:tc>
        <w:tc>
          <w:tcPr>
            <w:tcW w:w="5103" w:type="dxa"/>
          </w:tcPr>
          <w:p w:rsidR="0033583A" w:rsidRDefault="0033583A" w:rsidP="001E1DDD">
            <w:pPr>
              <w:spacing w:line="320" w:lineRule="exact"/>
              <w:rPr>
                <w:sz w:val="20"/>
                <w:szCs w:val="20"/>
              </w:rPr>
            </w:pPr>
            <w:r w:rsidRPr="001E1DDD">
              <w:rPr>
                <w:rFonts w:hint="eastAsia"/>
                <w:sz w:val="20"/>
                <w:szCs w:val="20"/>
              </w:rPr>
              <w:t>「</w:t>
            </w:r>
            <w:r w:rsidRPr="001E1DDD">
              <w:rPr>
                <w:rFonts w:hint="eastAsia"/>
                <w:sz w:val="20"/>
                <w:szCs w:val="20"/>
              </w:rPr>
              <w:t>1)</w:t>
            </w:r>
            <w:r w:rsidRPr="001E1DDD">
              <w:rPr>
                <w:rFonts w:hint="eastAsia"/>
                <w:sz w:val="20"/>
                <w:szCs w:val="20"/>
              </w:rPr>
              <w:t xml:space="preserve">　分野、階層別研修の制度化（座学とフィールドワーク等のシラバス化）の検討」</w:t>
            </w:r>
            <w:r>
              <w:rPr>
                <w:rFonts w:hint="eastAsia"/>
                <w:sz w:val="20"/>
                <w:szCs w:val="20"/>
              </w:rPr>
              <w:t>に以下の文章を記載した。</w:t>
            </w:r>
          </w:p>
          <w:p w:rsidR="0033583A" w:rsidRDefault="0033583A" w:rsidP="001E1DDD">
            <w:pPr>
              <w:spacing w:line="320" w:lineRule="exact"/>
              <w:ind w:leftChars="100" w:left="210" w:firstLineChars="100" w:firstLine="200"/>
              <w:rPr>
                <w:sz w:val="20"/>
                <w:szCs w:val="20"/>
              </w:rPr>
            </w:pPr>
            <w:r w:rsidRPr="001E1DDD">
              <w:rPr>
                <w:rFonts w:hint="eastAsia"/>
                <w:sz w:val="20"/>
                <w:szCs w:val="20"/>
              </w:rPr>
              <w:t>研修の体系化にあたっては、技術力を身につけることの必要性、研修を受けることの意義などを、受講者（技術職員）に認識させる仕組みづくりも併せて行うことが重要である。</w:t>
            </w:r>
          </w:p>
        </w:tc>
        <w:tc>
          <w:tcPr>
            <w:tcW w:w="850" w:type="dxa"/>
          </w:tcPr>
          <w:p w:rsidR="0033583A" w:rsidRDefault="009F64BD" w:rsidP="00284CEF">
            <w:pPr>
              <w:spacing w:line="320" w:lineRule="exact"/>
              <w:rPr>
                <w:sz w:val="20"/>
                <w:szCs w:val="20"/>
              </w:rPr>
            </w:pPr>
            <w:r>
              <w:rPr>
                <w:rFonts w:hint="eastAsia"/>
                <w:sz w:val="20"/>
                <w:szCs w:val="20"/>
              </w:rPr>
              <w:t>P.70</w:t>
            </w:r>
          </w:p>
        </w:tc>
      </w:tr>
      <w:tr w:rsidR="0033583A" w:rsidRPr="00F67DB2" w:rsidTr="00890651">
        <w:tc>
          <w:tcPr>
            <w:tcW w:w="3227" w:type="dxa"/>
          </w:tcPr>
          <w:p w:rsidR="0033583A" w:rsidRPr="00DE7DDB" w:rsidRDefault="0033583A" w:rsidP="00284CEF">
            <w:pPr>
              <w:spacing w:line="320" w:lineRule="exact"/>
              <w:rPr>
                <w:sz w:val="20"/>
                <w:szCs w:val="20"/>
              </w:rPr>
            </w:pPr>
            <w:r>
              <w:rPr>
                <w:rFonts w:hint="eastAsia"/>
                <w:sz w:val="20"/>
                <w:szCs w:val="20"/>
              </w:rPr>
              <w:t>「分野、階層別研修のイメージ」図において、それぞれの項目での知識習得のポイントを入れておくのが良いのではないか。また、同じ項目の（経験年数別での）重複はない方が良いのではないか。</w:t>
            </w:r>
          </w:p>
        </w:tc>
        <w:tc>
          <w:tcPr>
            <w:tcW w:w="5103" w:type="dxa"/>
          </w:tcPr>
          <w:p w:rsidR="0033583A" w:rsidRDefault="0033583A" w:rsidP="00284CEF">
            <w:pPr>
              <w:spacing w:line="320" w:lineRule="exact"/>
              <w:rPr>
                <w:sz w:val="20"/>
                <w:szCs w:val="20"/>
              </w:rPr>
            </w:pPr>
            <w:r>
              <w:rPr>
                <w:rFonts w:hint="eastAsia"/>
                <w:sz w:val="20"/>
                <w:szCs w:val="20"/>
              </w:rPr>
              <w:t>「</w:t>
            </w:r>
            <w:r w:rsidRPr="00361331">
              <w:rPr>
                <w:rFonts w:hint="eastAsia"/>
                <w:sz w:val="20"/>
                <w:szCs w:val="20"/>
              </w:rPr>
              <w:t>図</w:t>
            </w:r>
            <w:r w:rsidRPr="00361331">
              <w:rPr>
                <w:rFonts w:hint="eastAsia"/>
                <w:sz w:val="20"/>
                <w:szCs w:val="20"/>
              </w:rPr>
              <w:t xml:space="preserve"> 5.1 1</w:t>
            </w:r>
            <w:r w:rsidRPr="00361331">
              <w:rPr>
                <w:rFonts w:hint="eastAsia"/>
                <w:sz w:val="20"/>
                <w:szCs w:val="20"/>
              </w:rPr>
              <w:t xml:space="preserve">　分野、階層別研修のイメージ</w:t>
            </w:r>
            <w:r>
              <w:rPr>
                <w:rFonts w:hint="eastAsia"/>
                <w:sz w:val="20"/>
                <w:szCs w:val="20"/>
              </w:rPr>
              <w:t>」を修正した。</w:t>
            </w:r>
          </w:p>
        </w:tc>
        <w:tc>
          <w:tcPr>
            <w:tcW w:w="850" w:type="dxa"/>
          </w:tcPr>
          <w:p w:rsidR="0033583A" w:rsidRDefault="009F64BD" w:rsidP="00284CEF">
            <w:pPr>
              <w:spacing w:line="320" w:lineRule="exact"/>
              <w:rPr>
                <w:sz w:val="20"/>
                <w:szCs w:val="20"/>
              </w:rPr>
            </w:pPr>
            <w:r>
              <w:rPr>
                <w:rFonts w:hint="eastAsia"/>
                <w:sz w:val="20"/>
                <w:szCs w:val="20"/>
              </w:rPr>
              <w:t>p.70</w:t>
            </w:r>
          </w:p>
        </w:tc>
      </w:tr>
      <w:tr w:rsidR="0033583A" w:rsidRPr="00F67DB2" w:rsidTr="00890651">
        <w:tc>
          <w:tcPr>
            <w:tcW w:w="3227" w:type="dxa"/>
          </w:tcPr>
          <w:p w:rsidR="0033583A" w:rsidRPr="00F67DB2" w:rsidRDefault="00F06E24" w:rsidP="0076513D">
            <w:pPr>
              <w:spacing w:line="320" w:lineRule="exact"/>
              <w:rPr>
                <w:sz w:val="20"/>
                <w:szCs w:val="20"/>
              </w:rPr>
            </w:pPr>
            <w:r w:rsidRPr="00DE7DDB">
              <w:rPr>
                <w:rFonts w:hint="eastAsia"/>
                <w:sz w:val="20"/>
                <w:szCs w:val="20"/>
              </w:rPr>
              <w:t>研修が必ずしも技術力の向上につながる訳ではない。研修（の実施）が、確実に技術力向上に寄与するための仕組みを、（文章にはし難い部分はあると思うが）なんらかの形で触れるべきではないか。</w:t>
            </w:r>
          </w:p>
        </w:tc>
        <w:tc>
          <w:tcPr>
            <w:tcW w:w="5103" w:type="dxa"/>
          </w:tcPr>
          <w:p w:rsidR="0033583A" w:rsidRDefault="0033583A" w:rsidP="0076513D">
            <w:pPr>
              <w:spacing w:line="320" w:lineRule="exact"/>
              <w:rPr>
                <w:sz w:val="20"/>
                <w:szCs w:val="20"/>
              </w:rPr>
            </w:pPr>
            <w:r>
              <w:rPr>
                <w:rFonts w:hint="eastAsia"/>
                <w:sz w:val="20"/>
                <w:szCs w:val="20"/>
              </w:rPr>
              <w:t>「</w:t>
            </w:r>
            <w:r w:rsidRPr="00DE7DDB">
              <w:rPr>
                <w:rFonts w:hint="eastAsia"/>
                <w:sz w:val="20"/>
                <w:szCs w:val="20"/>
              </w:rPr>
              <w:t>a)</w:t>
            </w:r>
            <w:r w:rsidRPr="00DE7DDB">
              <w:rPr>
                <w:rFonts w:hint="eastAsia"/>
                <w:sz w:val="20"/>
                <w:szCs w:val="20"/>
              </w:rPr>
              <w:t xml:space="preserve">　内部研修の修了証（資格）の付与</w:t>
            </w:r>
            <w:r>
              <w:rPr>
                <w:rFonts w:hint="eastAsia"/>
                <w:sz w:val="20"/>
                <w:szCs w:val="20"/>
              </w:rPr>
              <w:t>」に以下の文章を記載した。</w:t>
            </w:r>
          </w:p>
          <w:p w:rsidR="0033583A" w:rsidRPr="00DE7DDB" w:rsidRDefault="0033583A" w:rsidP="0076513D">
            <w:pPr>
              <w:spacing w:line="320" w:lineRule="exact"/>
              <w:ind w:leftChars="100" w:left="210" w:firstLineChars="100" w:firstLine="200"/>
              <w:rPr>
                <w:sz w:val="20"/>
                <w:szCs w:val="20"/>
              </w:rPr>
            </w:pPr>
            <w:r w:rsidRPr="00DE7DDB">
              <w:rPr>
                <w:rFonts w:hint="eastAsia"/>
                <w:sz w:val="20"/>
                <w:szCs w:val="20"/>
              </w:rPr>
              <w:t>外部研修では、特に資格取得に直結する研修や講習では、単に研修等を受講するだけでなく、必要なレベルに達していることを証明するための試験等を行っている。</w:t>
            </w:r>
          </w:p>
          <w:p w:rsidR="0033583A" w:rsidRPr="00F67DB2" w:rsidRDefault="0033583A" w:rsidP="00361331">
            <w:pPr>
              <w:spacing w:line="320" w:lineRule="exact"/>
              <w:ind w:leftChars="100" w:left="210" w:firstLineChars="100" w:firstLine="200"/>
              <w:rPr>
                <w:sz w:val="20"/>
                <w:szCs w:val="20"/>
              </w:rPr>
            </w:pPr>
            <w:r w:rsidRPr="00DE7DDB">
              <w:rPr>
                <w:rFonts w:hint="eastAsia"/>
                <w:sz w:val="20"/>
                <w:szCs w:val="20"/>
              </w:rPr>
              <w:t>内部研修においても、研修の実効性を高めるために、習熟度別の主な区切りにおいて、修了証（内部資格）を付与するなどの仕組みを構築すべきである。</w:t>
            </w:r>
          </w:p>
        </w:tc>
        <w:tc>
          <w:tcPr>
            <w:tcW w:w="850" w:type="dxa"/>
          </w:tcPr>
          <w:p w:rsidR="0033583A" w:rsidRPr="00F67DB2" w:rsidRDefault="009F64BD" w:rsidP="0076513D">
            <w:pPr>
              <w:spacing w:line="320" w:lineRule="exact"/>
              <w:rPr>
                <w:sz w:val="20"/>
                <w:szCs w:val="20"/>
              </w:rPr>
            </w:pPr>
            <w:r>
              <w:rPr>
                <w:rFonts w:hint="eastAsia"/>
                <w:sz w:val="20"/>
                <w:szCs w:val="20"/>
              </w:rPr>
              <w:t>P.71</w:t>
            </w:r>
          </w:p>
        </w:tc>
      </w:tr>
      <w:tr w:rsidR="0033583A" w:rsidRPr="00F67DB2" w:rsidTr="00890651">
        <w:tc>
          <w:tcPr>
            <w:tcW w:w="3227" w:type="dxa"/>
          </w:tcPr>
          <w:p w:rsidR="0033583A" w:rsidRPr="00F67DB2" w:rsidRDefault="0033583A" w:rsidP="0076513D">
            <w:pPr>
              <w:spacing w:line="320" w:lineRule="exact"/>
              <w:rPr>
                <w:sz w:val="20"/>
                <w:szCs w:val="20"/>
              </w:rPr>
            </w:pPr>
            <w:r w:rsidRPr="00DE7DDB">
              <w:rPr>
                <w:rFonts w:hint="eastAsia"/>
                <w:sz w:val="20"/>
                <w:szCs w:val="20"/>
              </w:rPr>
              <w:t>「</w:t>
            </w:r>
            <w:r w:rsidRPr="00DE7DDB">
              <w:rPr>
                <w:rFonts w:hint="eastAsia"/>
                <w:sz w:val="20"/>
                <w:szCs w:val="20"/>
              </w:rPr>
              <w:t>(1)</w:t>
            </w:r>
            <w:r w:rsidRPr="00DE7DDB">
              <w:rPr>
                <w:rFonts w:hint="eastAsia"/>
                <w:sz w:val="20"/>
                <w:szCs w:val="20"/>
              </w:rPr>
              <w:t xml:space="preserve">　技術研修等の体系化」</w:t>
            </w:r>
            <w:r>
              <w:rPr>
                <w:rFonts w:hint="eastAsia"/>
                <w:sz w:val="20"/>
                <w:szCs w:val="20"/>
              </w:rPr>
              <w:t>において、</w:t>
            </w:r>
            <w:r w:rsidRPr="00DE7DDB">
              <w:rPr>
                <w:rFonts w:hint="eastAsia"/>
                <w:sz w:val="20"/>
                <w:szCs w:val="20"/>
              </w:rPr>
              <w:t>内部資格等が、どのように活かされるかを明確にすべき。</w:t>
            </w:r>
          </w:p>
        </w:tc>
        <w:tc>
          <w:tcPr>
            <w:tcW w:w="5103" w:type="dxa"/>
          </w:tcPr>
          <w:p w:rsidR="0033583A" w:rsidRPr="00FF0CB3" w:rsidRDefault="0033583A" w:rsidP="0076513D">
            <w:pPr>
              <w:spacing w:line="320" w:lineRule="exact"/>
              <w:rPr>
                <w:sz w:val="20"/>
                <w:szCs w:val="20"/>
              </w:rPr>
            </w:pPr>
            <w:r>
              <w:rPr>
                <w:rFonts w:hint="eastAsia"/>
                <w:sz w:val="20"/>
                <w:szCs w:val="20"/>
              </w:rPr>
              <w:t>「</w:t>
            </w:r>
            <w:r w:rsidRPr="00DE7DDB">
              <w:rPr>
                <w:rFonts w:hint="eastAsia"/>
                <w:sz w:val="20"/>
                <w:szCs w:val="20"/>
              </w:rPr>
              <w:t>b)</w:t>
            </w:r>
            <w:r w:rsidRPr="00DE7DDB">
              <w:rPr>
                <w:rFonts w:hint="eastAsia"/>
                <w:sz w:val="20"/>
                <w:szCs w:val="20"/>
              </w:rPr>
              <w:t xml:space="preserve">　担当業務への内部資格等の資格要件の設定</w:t>
            </w:r>
            <w:r>
              <w:rPr>
                <w:rFonts w:hint="eastAsia"/>
                <w:sz w:val="20"/>
                <w:szCs w:val="20"/>
              </w:rPr>
              <w:t>」および「</w:t>
            </w:r>
            <w:r w:rsidRPr="00361331">
              <w:rPr>
                <w:rFonts w:hint="eastAsia"/>
                <w:sz w:val="20"/>
                <w:szCs w:val="20"/>
              </w:rPr>
              <w:t>4)</w:t>
            </w:r>
            <w:r w:rsidRPr="00361331">
              <w:rPr>
                <w:rFonts w:hint="eastAsia"/>
                <w:sz w:val="20"/>
                <w:szCs w:val="20"/>
              </w:rPr>
              <w:t xml:space="preserve">　必要資格の選定・資格取得のあり方（資格補助制度など）の検討</w:t>
            </w:r>
            <w:r>
              <w:rPr>
                <w:rFonts w:hint="eastAsia"/>
                <w:sz w:val="20"/>
                <w:szCs w:val="20"/>
              </w:rPr>
              <w:t>」に記載した。</w:t>
            </w:r>
          </w:p>
        </w:tc>
        <w:tc>
          <w:tcPr>
            <w:tcW w:w="850" w:type="dxa"/>
          </w:tcPr>
          <w:p w:rsidR="0033583A" w:rsidRPr="00F67DB2" w:rsidRDefault="009F64BD" w:rsidP="0076513D">
            <w:pPr>
              <w:spacing w:line="320" w:lineRule="exact"/>
              <w:rPr>
                <w:sz w:val="20"/>
                <w:szCs w:val="20"/>
              </w:rPr>
            </w:pPr>
            <w:r>
              <w:rPr>
                <w:rFonts w:hint="eastAsia"/>
                <w:sz w:val="20"/>
                <w:szCs w:val="20"/>
              </w:rPr>
              <w:t>P.71</w:t>
            </w:r>
          </w:p>
        </w:tc>
      </w:tr>
    </w:tbl>
    <w:p w:rsidR="001E1DDD" w:rsidRPr="00361331" w:rsidRDefault="0033583A" w:rsidP="00F67DB2">
      <w:pPr>
        <w:rPr>
          <w:rFonts w:ascii="HG丸ｺﾞｼｯｸM-PRO" w:eastAsia="HG丸ｺﾞｼｯｸM-PRO" w:hAnsi="HG丸ｺﾞｼｯｸM-PRO"/>
          <w:sz w:val="28"/>
          <w:szCs w:val="28"/>
        </w:rPr>
      </w:pPr>
      <w:r>
        <w:br w:type="page"/>
      </w:r>
      <w:r w:rsidR="00361331" w:rsidRPr="00361331">
        <w:rPr>
          <w:rFonts w:ascii="HG丸ｺﾞｼｯｸM-PRO" w:eastAsia="HG丸ｺﾞｼｯｸM-PRO" w:hAnsi="HG丸ｺﾞｼｯｸM-PRO" w:hint="eastAsia"/>
          <w:sz w:val="28"/>
          <w:szCs w:val="28"/>
        </w:rPr>
        <w:lastRenderedPageBreak/>
        <w:t>5.2　現場や地域を重視した維持管理の実践</w:t>
      </w:r>
    </w:p>
    <w:tbl>
      <w:tblPr>
        <w:tblStyle w:val="af"/>
        <w:tblW w:w="9180" w:type="dxa"/>
        <w:tblLook w:val="04A0" w:firstRow="1" w:lastRow="0" w:firstColumn="1" w:lastColumn="0" w:noHBand="0" w:noVBand="1"/>
      </w:tblPr>
      <w:tblGrid>
        <w:gridCol w:w="4077"/>
        <w:gridCol w:w="4253"/>
        <w:gridCol w:w="850"/>
      </w:tblGrid>
      <w:tr w:rsidR="0033583A" w:rsidRPr="00C76A8D" w:rsidTr="00890651">
        <w:tc>
          <w:tcPr>
            <w:tcW w:w="4077"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意見等</w:t>
            </w:r>
          </w:p>
        </w:tc>
        <w:tc>
          <w:tcPr>
            <w:tcW w:w="4253"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対応</w:t>
            </w:r>
          </w:p>
        </w:tc>
        <w:tc>
          <w:tcPr>
            <w:tcW w:w="850"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掲載頁</w:t>
            </w:r>
          </w:p>
        </w:tc>
      </w:tr>
      <w:tr w:rsidR="0033583A" w:rsidRPr="00F67DB2" w:rsidTr="00890651">
        <w:tc>
          <w:tcPr>
            <w:tcW w:w="4077" w:type="dxa"/>
          </w:tcPr>
          <w:p w:rsidR="0033583A" w:rsidRPr="00890651" w:rsidRDefault="0033583A" w:rsidP="0076513D">
            <w:pPr>
              <w:spacing w:line="320" w:lineRule="exact"/>
              <w:rPr>
                <w:sz w:val="20"/>
                <w:szCs w:val="20"/>
              </w:rPr>
            </w:pPr>
            <w:r w:rsidRPr="00890651">
              <w:rPr>
                <w:rFonts w:hint="eastAsia"/>
                <w:sz w:val="20"/>
                <w:szCs w:val="20"/>
              </w:rPr>
              <w:t>府域の大学と技術連携をすることとしているが、各分野の考え方がバラバラにならないよう、情報共有や統一的な考え方を検討する場として、本審議会を活用するべき。</w:t>
            </w:r>
          </w:p>
        </w:tc>
        <w:tc>
          <w:tcPr>
            <w:tcW w:w="4253" w:type="dxa"/>
          </w:tcPr>
          <w:p w:rsidR="0033583A" w:rsidRPr="00890651" w:rsidRDefault="0033583A" w:rsidP="0076513D">
            <w:pPr>
              <w:spacing w:line="320" w:lineRule="exact"/>
              <w:rPr>
                <w:sz w:val="20"/>
                <w:szCs w:val="20"/>
              </w:rPr>
            </w:pPr>
            <w:r w:rsidRPr="00890651">
              <w:rPr>
                <w:rFonts w:hint="eastAsia"/>
                <w:sz w:val="20"/>
                <w:szCs w:val="20"/>
              </w:rPr>
              <w:t>「</w:t>
            </w:r>
            <w:r w:rsidRPr="00890651">
              <w:rPr>
                <w:rFonts w:hint="eastAsia"/>
                <w:sz w:val="20"/>
                <w:szCs w:val="20"/>
              </w:rPr>
              <w:t>b)</w:t>
            </w:r>
            <w:r w:rsidRPr="00890651">
              <w:rPr>
                <w:rFonts w:hint="eastAsia"/>
                <w:sz w:val="20"/>
                <w:szCs w:val="20"/>
              </w:rPr>
              <w:t xml:space="preserve">　府内全体の維持管理連携モデルの構築」に以下の文章を記載した。</w:t>
            </w:r>
          </w:p>
          <w:p w:rsidR="0033583A" w:rsidRPr="00890651" w:rsidRDefault="0033583A" w:rsidP="00FF0CB3">
            <w:pPr>
              <w:spacing w:line="320" w:lineRule="exact"/>
              <w:ind w:leftChars="100" w:left="210" w:firstLineChars="100" w:firstLine="200"/>
              <w:rPr>
                <w:sz w:val="20"/>
                <w:szCs w:val="20"/>
              </w:rPr>
            </w:pPr>
            <w:r w:rsidRPr="00890651">
              <w:rPr>
                <w:rFonts w:hint="eastAsia"/>
                <w:sz w:val="20"/>
                <w:szCs w:val="20"/>
              </w:rPr>
              <w:t>各分野の考え方がバラバラにならないよう、情報共有の場や統一的な考え方をする場として、本審議会</w:t>
            </w:r>
            <w:r w:rsidR="00737FEE" w:rsidRPr="00890651">
              <w:rPr>
                <w:rFonts w:hint="eastAsia"/>
                <w:sz w:val="20"/>
                <w:szCs w:val="20"/>
              </w:rPr>
              <w:t>等</w:t>
            </w:r>
            <w:r w:rsidRPr="00890651">
              <w:rPr>
                <w:rFonts w:hint="eastAsia"/>
                <w:sz w:val="20"/>
                <w:szCs w:val="20"/>
              </w:rPr>
              <w:t>を活用すべきである。</w:t>
            </w:r>
          </w:p>
        </w:tc>
        <w:tc>
          <w:tcPr>
            <w:tcW w:w="850" w:type="dxa"/>
          </w:tcPr>
          <w:p w:rsidR="0033583A" w:rsidRPr="00F67DB2" w:rsidRDefault="009F64BD" w:rsidP="0076513D">
            <w:pPr>
              <w:spacing w:line="320" w:lineRule="exact"/>
              <w:rPr>
                <w:sz w:val="20"/>
                <w:szCs w:val="20"/>
              </w:rPr>
            </w:pPr>
            <w:r>
              <w:rPr>
                <w:rFonts w:hint="eastAsia"/>
                <w:sz w:val="20"/>
                <w:szCs w:val="20"/>
              </w:rPr>
              <w:t>P.76</w:t>
            </w:r>
          </w:p>
        </w:tc>
      </w:tr>
    </w:tbl>
    <w:p w:rsidR="008933D9" w:rsidRDefault="008933D9">
      <w:pPr>
        <w:widowControl/>
        <w:jc w:val="left"/>
      </w:pPr>
    </w:p>
    <w:p w:rsidR="00361331" w:rsidRPr="008933D9" w:rsidRDefault="008933D9" w:rsidP="00F67DB2">
      <w:pPr>
        <w:rPr>
          <w:rFonts w:ascii="HG丸ｺﾞｼｯｸM-PRO" w:eastAsia="HG丸ｺﾞｼｯｸM-PRO" w:hAnsi="HG丸ｺﾞｼｯｸM-PRO"/>
          <w:sz w:val="28"/>
          <w:szCs w:val="28"/>
        </w:rPr>
      </w:pPr>
      <w:r w:rsidRPr="008933D9">
        <w:rPr>
          <w:rFonts w:ascii="HG丸ｺﾞｼｯｸM-PRO" w:eastAsia="HG丸ｺﾞｼｯｸM-PRO" w:hAnsi="HG丸ｺﾞｼｯｸM-PRO" w:hint="eastAsia"/>
          <w:sz w:val="28"/>
          <w:szCs w:val="28"/>
        </w:rPr>
        <w:t>5.3　維持管理業務の改善と魅力向上のあり方</w:t>
      </w:r>
    </w:p>
    <w:tbl>
      <w:tblPr>
        <w:tblStyle w:val="af"/>
        <w:tblW w:w="9180" w:type="dxa"/>
        <w:tblLook w:val="04A0" w:firstRow="1" w:lastRow="0" w:firstColumn="1" w:lastColumn="0" w:noHBand="0" w:noVBand="1"/>
      </w:tblPr>
      <w:tblGrid>
        <w:gridCol w:w="4077"/>
        <w:gridCol w:w="4253"/>
        <w:gridCol w:w="850"/>
      </w:tblGrid>
      <w:tr w:rsidR="0033583A" w:rsidRPr="00C76A8D" w:rsidTr="0048219E">
        <w:tc>
          <w:tcPr>
            <w:tcW w:w="4077"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意見等</w:t>
            </w:r>
          </w:p>
        </w:tc>
        <w:tc>
          <w:tcPr>
            <w:tcW w:w="4253"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対応</w:t>
            </w:r>
          </w:p>
        </w:tc>
        <w:tc>
          <w:tcPr>
            <w:tcW w:w="850"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掲載頁</w:t>
            </w:r>
          </w:p>
        </w:tc>
      </w:tr>
      <w:tr w:rsidR="0033583A" w:rsidRPr="00F67DB2" w:rsidTr="0048219E">
        <w:tc>
          <w:tcPr>
            <w:tcW w:w="4077" w:type="dxa"/>
          </w:tcPr>
          <w:p w:rsidR="0033583A" w:rsidRPr="00F67DB2" w:rsidRDefault="0033583A" w:rsidP="0076513D">
            <w:pPr>
              <w:spacing w:line="320" w:lineRule="exact"/>
              <w:rPr>
                <w:sz w:val="20"/>
                <w:szCs w:val="20"/>
              </w:rPr>
            </w:pPr>
            <w:r w:rsidRPr="008933D9">
              <w:rPr>
                <w:rFonts w:hint="eastAsia"/>
                <w:sz w:val="20"/>
                <w:szCs w:val="20"/>
              </w:rPr>
              <w:t>長期、継続、包括といった新しい入札契約制度において、単に数量を増やすだけでなく、一つの流れで深度化していくような包括契約を考慮すべき。</w:t>
            </w:r>
          </w:p>
        </w:tc>
        <w:tc>
          <w:tcPr>
            <w:tcW w:w="4253" w:type="dxa"/>
          </w:tcPr>
          <w:p w:rsidR="0033583A" w:rsidRDefault="0033583A" w:rsidP="0076513D">
            <w:pPr>
              <w:spacing w:line="320" w:lineRule="exact"/>
              <w:rPr>
                <w:sz w:val="20"/>
                <w:szCs w:val="20"/>
              </w:rPr>
            </w:pPr>
            <w:r>
              <w:rPr>
                <w:rFonts w:hint="eastAsia"/>
                <w:sz w:val="20"/>
                <w:szCs w:val="20"/>
              </w:rPr>
              <w:t>「</w:t>
            </w:r>
            <w:r w:rsidRPr="008933D9">
              <w:rPr>
                <w:rFonts w:hint="eastAsia"/>
                <w:sz w:val="20"/>
                <w:szCs w:val="20"/>
              </w:rPr>
              <w:t>5.3.2</w:t>
            </w:r>
            <w:r w:rsidRPr="008933D9">
              <w:rPr>
                <w:rFonts w:hint="eastAsia"/>
                <w:sz w:val="20"/>
                <w:szCs w:val="20"/>
              </w:rPr>
              <w:t xml:space="preserve">　入札契約制度の改善</w:t>
            </w:r>
            <w:r>
              <w:rPr>
                <w:rFonts w:hint="eastAsia"/>
                <w:sz w:val="20"/>
                <w:szCs w:val="20"/>
              </w:rPr>
              <w:t>」</w:t>
            </w:r>
          </w:p>
          <w:p w:rsidR="0033583A" w:rsidRDefault="0033583A" w:rsidP="0076513D">
            <w:pPr>
              <w:spacing w:line="320" w:lineRule="exact"/>
              <w:rPr>
                <w:sz w:val="20"/>
                <w:szCs w:val="20"/>
              </w:rPr>
            </w:pPr>
            <w:r>
              <w:rPr>
                <w:rFonts w:hint="eastAsia"/>
                <w:sz w:val="20"/>
                <w:szCs w:val="20"/>
              </w:rPr>
              <w:t>「</w:t>
            </w:r>
            <w:r w:rsidRPr="008933D9">
              <w:rPr>
                <w:rFonts w:hint="eastAsia"/>
                <w:sz w:val="20"/>
                <w:szCs w:val="20"/>
              </w:rPr>
              <w:t>(2)</w:t>
            </w:r>
            <w:r w:rsidRPr="008933D9">
              <w:rPr>
                <w:rFonts w:hint="eastAsia"/>
                <w:sz w:val="20"/>
                <w:szCs w:val="20"/>
              </w:rPr>
              <w:t xml:space="preserve">　基本的な考え方</w:t>
            </w:r>
            <w:r>
              <w:rPr>
                <w:rFonts w:hint="eastAsia"/>
                <w:sz w:val="20"/>
                <w:szCs w:val="20"/>
              </w:rPr>
              <w:t xml:space="preserve">　</w:t>
            </w:r>
            <w:r w:rsidRPr="008933D9">
              <w:rPr>
                <w:rFonts w:hint="eastAsia"/>
                <w:sz w:val="20"/>
                <w:szCs w:val="20"/>
              </w:rPr>
              <w:t>1)</w:t>
            </w:r>
            <w:r w:rsidRPr="008933D9">
              <w:rPr>
                <w:rFonts w:hint="eastAsia"/>
                <w:sz w:val="20"/>
                <w:szCs w:val="20"/>
              </w:rPr>
              <w:t xml:space="preserve">　包括契約</w:t>
            </w:r>
            <w:r>
              <w:rPr>
                <w:rFonts w:hint="eastAsia"/>
                <w:sz w:val="20"/>
                <w:szCs w:val="20"/>
              </w:rPr>
              <w:t>」に以下の文章を記載した。</w:t>
            </w:r>
          </w:p>
          <w:p w:rsidR="0033583A" w:rsidRPr="00F67DB2" w:rsidRDefault="0033583A" w:rsidP="00E161C3">
            <w:pPr>
              <w:spacing w:line="320" w:lineRule="exact"/>
              <w:ind w:leftChars="100" w:left="210" w:firstLineChars="100" w:firstLine="200"/>
              <w:rPr>
                <w:sz w:val="20"/>
                <w:szCs w:val="20"/>
              </w:rPr>
            </w:pPr>
            <w:r w:rsidRPr="008933D9">
              <w:rPr>
                <w:rFonts w:hint="eastAsia"/>
                <w:sz w:val="20"/>
                <w:szCs w:val="20"/>
              </w:rPr>
              <w:t>その際には、契約の長期化・継続化、地域的な包括契約など、対象数量を増やすための包括化だけではなく、「点検・診断～</w:t>
            </w:r>
            <w:r w:rsidR="00E161C3">
              <w:rPr>
                <w:rFonts w:hint="eastAsia"/>
                <w:sz w:val="20"/>
                <w:szCs w:val="20"/>
              </w:rPr>
              <w:t>小修繕</w:t>
            </w:r>
            <w:r w:rsidRPr="008933D9">
              <w:rPr>
                <w:rFonts w:hint="eastAsia"/>
                <w:sz w:val="20"/>
                <w:szCs w:val="20"/>
              </w:rPr>
              <w:t>」や「道路事業・河川事業」といったこれまで分かれてい</w:t>
            </w:r>
            <w:r>
              <w:rPr>
                <w:rFonts w:hint="eastAsia"/>
                <w:sz w:val="20"/>
                <w:szCs w:val="20"/>
              </w:rPr>
              <w:t>た業務の一括発注など、一連の業務を深度化させる視点も重要である</w:t>
            </w:r>
            <w:r w:rsidRPr="00361331">
              <w:rPr>
                <w:rFonts w:hint="eastAsia"/>
                <w:sz w:val="20"/>
                <w:szCs w:val="20"/>
              </w:rPr>
              <w:t>。</w:t>
            </w:r>
          </w:p>
        </w:tc>
        <w:tc>
          <w:tcPr>
            <w:tcW w:w="850" w:type="dxa"/>
          </w:tcPr>
          <w:p w:rsidR="0033583A" w:rsidRPr="00F67DB2" w:rsidRDefault="009F64BD" w:rsidP="0076513D">
            <w:pPr>
              <w:spacing w:line="320" w:lineRule="exact"/>
              <w:rPr>
                <w:sz w:val="20"/>
                <w:szCs w:val="20"/>
              </w:rPr>
            </w:pPr>
            <w:r>
              <w:rPr>
                <w:rFonts w:hint="eastAsia"/>
                <w:sz w:val="20"/>
                <w:szCs w:val="20"/>
              </w:rPr>
              <w:t>P.80</w:t>
            </w:r>
          </w:p>
        </w:tc>
      </w:tr>
      <w:tr w:rsidR="0033583A" w:rsidRPr="00F67DB2" w:rsidTr="0048219E">
        <w:tc>
          <w:tcPr>
            <w:tcW w:w="4077" w:type="dxa"/>
          </w:tcPr>
          <w:p w:rsidR="0033583A" w:rsidRPr="008933D9" w:rsidRDefault="0033583A" w:rsidP="00590880">
            <w:pPr>
              <w:spacing w:line="320" w:lineRule="exact"/>
              <w:rPr>
                <w:sz w:val="20"/>
                <w:szCs w:val="20"/>
              </w:rPr>
            </w:pPr>
            <w:r w:rsidRPr="00590880">
              <w:rPr>
                <w:rFonts w:hint="eastAsia"/>
                <w:sz w:val="20"/>
                <w:szCs w:val="20"/>
              </w:rPr>
              <w:t>誰に対する</w:t>
            </w:r>
            <w:r w:rsidRPr="00590880">
              <w:rPr>
                <w:rFonts w:hint="eastAsia"/>
                <w:sz w:val="20"/>
                <w:szCs w:val="20"/>
              </w:rPr>
              <w:t>PR</w:t>
            </w:r>
            <w:r w:rsidRPr="00590880">
              <w:rPr>
                <w:rFonts w:hint="eastAsia"/>
                <w:sz w:val="20"/>
                <w:szCs w:val="20"/>
              </w:rPr>
              <w:t>であるか（ターゲット）を明確にした上で、それぞれの</w:t>
            </w:r>
            <w:r w:rsidRPr="00590880">
              <w:rPr>
                <w:rFonts w:hint="eastAsia"/>
                <w:sz w:val="20"/>
                <w:szCs w:val="20"/>
              </w:rPr>
              <w:t>PR</w:t>
            </w:r>
            <w:r w:rsidRPr="00590880">
              <w:rPr>
                <w:rFonts w:hint="eastAsia"/>
                <w:sz w:val="20"/>
                <w:szCs w:val="20"/>
              </w:rPr>
              <w:t>方法を検討すべき。</w:t>
            </w:r>
          </w:p>
        </w:tc>
        <w:tc>
          <w:tcPr>
            <w:tcW w:w="4253" w:type="dxa"/>
          </w:tcPr>
          <w:p w:rsidR="0033583A" w:rsidRDefault="0033583A" w:rsidP="00590880">
            <w:pPr>
              <w:spacing w:line="320" w:lineRule="exact"/>
              <w:rPr>
                <w:sz w:val="20"/>
                <w:szCs w:val="20"/>
              </w:rPr>
            </w:pPr>
            <w:r>
              <w:rPr>
                <w:rFonts w:hint="eastAsia"/>
                <w:sz w:val="20"/>
                <w:szCs w:val="20"/>
              </w:rPr>
              <w:t>「</w:t>
            </w:r>
            <w:r w:rsidRPr="008933D9">
              <w:rPr>
                <w:rFonts w:hint="eastAsia"/>
                <w:sz w:val="20"/>
                <w:szCs w:val="20"/>
              </w:rPr>
              <w:t>5.3.3</w:t>
            </w:r>
            <w:r w:rsidRPr="008933D9">
              <w:rPr>
                <w:rFonts w:hint="eastAsia"/>
                <w:sz w:val="20"/>
                <w:szCs w:val="20"/>
              </w:rPr>
              <w:t xml:space="preserve">　維持管理業務の魅力向上に向けて</w:t>
            </w:r>
            <w:r>
              <w:rPr>
                <w:rFonts w:hint="eastAsia"/>
                <w:sz w:val="20"/>
                <w:szCs w:val="20"/>
              </w:rPr>
              <w:t xml:space="preserve">　</w:t>
            </w:r>
            <w:r w:rsidRPr="00590880">
              <w:rPr>
                <w:rFonts w:hint="eastAsia"/>
                <w:sz w:val="20"/>
                <w:szCs w:val="20"/>
              </w:rPr>
              <w:t>(1)</w:t>
            </w:r>
            <w:r w:rsidRPr="00590880">
              <w:rPr>
                <w:rFonts w:hint="eastAsia"/>
                <w:sz w:val="20"/>
                <w:szCs w:val="20"/>
              </w:rPr>
              <w:t xml:space="preserve">　基本的な考え方</w:t>
            </w:r>
            <w:r>
              <w:rPr>
                <w:rFonts w:hint="eastAsia"/>
                <w:sz w:val="20"/>
                <w:szCs w:val="20"/>
              </w:rPr>
              <w:t>」に、以下の文章を記載した。</w:t>
            </w:r>
          </w:p>
          <w:p w:rsidR="0033583A" w:rsidRPr="00590880" w:rsidRDefault="0033583A" w:rsidP="00F06E24">
            <w:pPr>
              <w:spacing w:line="320" w:lineRule="exact"/>
              <w:ind w:leftChars="100" w:left="210" w:firstLineChars="100" w:firstLine="200"/>
              <w:rPr>
                <w:color w:val="FF0000"/>
                <w:sz w:val="20"/>
                <w:szCs w:val="20"/>
              </w:rPr>
            </w:pPr>
            <w:r w:rsidRPr="00590880">
              <w:rPr>
                <w:rFonts w:hint="eastAsia"/>
                <w:sz w:val="20"/>
                <w:szCs w:val="20"/>
              </w:rPr>
              <w:t>府民</w:t>
            </w:r>
            <w:r w:rsidR="00737FEE" w:rsidRPr="00890651">
              <w:rPr>
                <w:rFonts w:hint="eastAsia"/>
                <w:sz w:val="20"/>
                <w:szCs w:val="20"/>
              </w:rPr>
              <w:t>・企業</w:t>
            </w:r>
            <w:r w:rsidRPr="00890651">
              <w:rPr>
                <w:rFonts w:hint="eastAsia"/>
                <w:sz w:val="20"/>
                <w:szCs w:val="20"/>
              </w:rPr>
              <w:t>等に対する積極的な情報発信とともに、魅力あ</w:t>
            </w:r>
            <w:r w:rsidRPr="00590880">
              <w:rPr>
                <w:rFonts w:hint="eastAsia"/>
                <w:sz w:val="20"/>
                <w:szCs w:val="20"/>
              </w:rPr>
              <w:t>る新しい維持管理のあり方について検討が必要である。情報発信は、維持管理に携わる技術者のモチベーション確保にもつながるものであることが望ましい。</w:t>
            </w:r>
          </w:p>
        </w:tc>
        <w:tc>
          <w:tcPr>
            <w:tcW w:w="850" w:type="dxa"/>
          </w:tcPr>
          <w:p w:rsidR="0033583A" w:rsidRDefault="00737FEE" w:rsidP="0076513D">
            <w:pPr>
              <w:spacing w:line="320" w:lineRule="exact"/>
              <w:rPr>
                <w:sz w:val="20"/>
                <w:szCs w:val="20"/>
              </w:rPr>
            </w:pPr>
            <w:r w:rsidRPr="00890651">
              <w:rPr>
                <w:rFonts w:hint="eastAsia"/>
                <w:sz w:val="20"/>
                <w:szCs w:val="20"/>
              </w:rPr>
              <w:t>P.82</w:t>
            </w:r>
          </w:p>
        </w:tc>
      </w:tr>
      <w:tr w:rsidR="0033583A" w:rsidRPr="00F67DB2" w:rsidTr="0048219E">
        <w:tc>
          <w:tcPr>
            <w:tcW w:w="4077" w:type="dxa"/>
          </w:tcPr>
          <w:p w:rsidR="0033583A" w:rsidRPr="008933D9" w:rsidRDefault="0033583A" w:rsidP="00590880">
            <w:pPr>
              <w:spacing w:line="320" w:lineRule="exact"/>
              <w:rPr>
                <w:sz w:val="20"/>
                <w:szCs w:val="20"/>
              </w:rPr>
            </w:pPr>
            <w:r w:rsidRPr="00590880">
              <w:rPr>
                <w:rFonts w:hint="eastAsia"/>
                <w:sz w:val="20"/>
                <w:szCs w:val="20"/>
              </w:rPr>
              <w:t>普段、維持管理等の現場を見られない事務職員等へも</w:t>
            </w:r>
            <w:r w:rsidRPr="00590880">
              <w:rPr>
                <w:rFonts w:hint="eastAsia"/>
                <w:sz w:val="20"/>
                <w:szCs w:val="20"/>
              </w:rPr>
              <w:t>PR</w:t>
            </w:r>
            <w:r w:rsidRPr="00590880">
              <w:rPr>
                <w:rFonts w:hint="eastAsia"/>
                <w:sz w:val="20"/>
                <w:szCs w:val="20"/>
              </w:rPr>
              <w:t>が必要ではないか。</w:t>
            </w:r>
            <w:r>
              <w:rPr>
                <w:rFonts w:hint="eastAsia"/>
                <w:sz w:val="20"/>
                <w:szCs w:val="20"/>
              </w:rPr>
              <w:t>このような</w:t>
            </w:r>
            <w:r w:rsidRPr="00590880">
              <w:rPr>
                <w:rFonts w:hint="eastAsia"/>
                <w:sz w:val="20"/>
                <w:szCs w:val="20"/>
              </w:rPr>
              <w:t>人</w:t>
            </w:r>
            <w:r>
              <w:rPr>
                <w:rFonts w:hint="eastAsia"/>
                <w:sz w:val="20"/>
                <w:szCs w:val="20"/>
              </w:rPr>
              <w:t>を</w:t>
            </w:r>
            <w:r w:rsidRPr="00590880">
              <w:rPr>
                <w:rFonts w:hint="eastAsia"/>
                <w:sz w:val="20"/>
                <w:szCs w:val="20"/>
              </w:rPr>
              <w:t>対象として</w:t>
            </w:r>
            <w:r>
              <w:rPr>
                <w:rFonts w:hint="eastAsia"/>
                <w:sz w:val="20"/>
                <w:szCs w:val="20"/>
              </w:rPr>
              <w:t>、</w:t>
            </w:r>
            <w:r w:rsidRPr="00590880">
              <w:rPr>
                <w:rFonts w:hint="eastAsia"/>
                <w:sz w:val="20"/>
                <w:szCs w:val="20"/>
              </w:rPr>
              <w:t>体験してもらうような機会を作ってはどうか。</w:t>
            </w:r>
          </w:p>
        </w:tc>
        <w:tc>
          <w:tcPr>
            <w:tcW w:w="4253" w:type="dxa"/>
          </w:tcPr>
          <w:p w:rsidR="0033583A" w:rsidRDefault="0033583A" w:rsidP="008933D9">
            <w:pPr>
              <w:spacing w:line="320" w:lineRule="exact"/>
              <w:rPr>
                <w:sz w:val="20"/>
                <w:szCs w:val="20"/>
              </w:rPr>
            </w:pPr>
            <w:r w:rsidRPr="00590880">
              <w:rPr>
                <w:rFonts w:hint="eastAsia"/>
                <w:sz w:val="20"/>
                <w:szCs w:val="20"/>
              </w:rPr>
              <w:t>「</w:t>
            </w:r>
            <w:r w:rsidRPr="00590880">
              <w:rPr>
                <w:rFonts w:hint="eastAsia"/>
                <w:sz w:val="20"/>
                <w:szCs w:val="20"/>
              </w:rPr>
              <w:t>(2)</w:t>
            </w:r>
            <w:r w:rsidRPr="00590880">
              <w:rPr>
                <w:rFonts w:hint="eastAsia"/>
                <w:sz w:val="20"/>
                <w:szCs w:val="20"/>
              </w:rPr>
              <w:t xml:space="preserve">　具体的な検討内容」</w:t>
            </w:r>
            <w:r>
              <w:rPr>
                <w:rFonts w:hint="eastAsia"/>
                <w:sz w:val="20"/>
                <w:szCs w:val="20"/>
              </w:rPr>
              <w:t>に、</w:t>
            </w:r>
          </w:p>
          <w:p w:rsidR="0033583A" w:rsidRDefault="0033583A" w:rsidP="008933D9">
            <w:pPr>
              <w:spacing w:line="320" w:lineRule="exact"/>
              <w:rPr>
                <w:sz w:val="20"/>
                <w:szCs w:val="20"/>
              </w:rPr>
            </w:pPr>
            <w:r>
              <w:rPr>
                <w:rFonts w:hint="eastAsia"/>
                <w:sz w:val="20"/>
                <w:szCs w:val="20"/>
              </w:rPr>
              <w:t>「</w:t>
            </w:r>
            <w:r w:rsidRPr="00590880">
              <w:rPr>
                <w:rFonts w:hint="eastAsia"/>
                <w:sz w:val="20"/>
                <w:szCs w:val="20"/>
              </w:rPr>
              <w:t>2)</w:t>
            </w:r>
            <w:r w:rsidRPr="00590880">
              <w:rPr>
                <w:rFonts w:hint="eastAsia"/>
                <w:sz w:val="20"/>
                <w:szCs w:val="20"/>
              </w:rPr>
              <w:t xml:space="preserve">　都市基盤施設の体験ツアー</w:t>
            </w:r>
            <w:r>
              <w:rPr>
                <w:rFonts w:hint="eastAsia"/>
                <w:sz w:val="20"/>
                <w:szCs w:val="20"/>
              </w:rPr>
              <w:t>」の項目を追加した。</w:t>
            </w:r>
          </w:p>
        </w:tc>
        <w:tc>
          <w:tcPr>
            <w:tcW w:w="850" w:type="dxa"/>
          </w:tcPr>
          <w:p w:rsidR="0033583A" w:rsidRDefault="009F64BD" w:rsidP="0076513D">
            <w:pPr>
              <w:spacing w:line="320" w:lineRule="exact"/>
              <w:rPr>
                <w:sz w:val="20"/>
                <w:szCs w:val="20"/>
              </w:rPr>
            </w:pPr>
            <w:r>
              <w:rPr>
                <w:rFonts w:hint="eastAsia"/>
                <w:sz w:val="20"/>
                <w:szCs w:val="20"/>
              </w:rPr>
              <w:t>P.83</w:t>
            </w:r>
          </w:p>
        </w:tc>
      </w:tr>
      <w:tr w:rsidR="0033583A" w:rsidRPr="00F67DB2" w:rsidTr="0048219E">
        <w:tc>
          <w:tcPr>
            <w:tcW w:w="4077" w:type="dxa"/>
          </w:tcPr>
          <w:p w:rsidR="0033583A" w:rsidRPr="008933D9" w:rsidRDefault="0033583A" w:rsidP="00FF0CB3">
            <w:pPr>
              <w:spacing w:line="320" w:lineRule="exact"/>
              <w:rPr>
                <w:sz w:val="20"/>
                <w:szCs w:val="20"/>
              </w:rPr>
            </w:pPr>
            <w:r w:rsidRPr="008933D9">
              <w:rPr>
                <w:rFonts w:hint="eastAsia"/>
                <w:sz w:val="20"/>
                <w:szCs w:val="20"/>
              </w:rPr>
              <w:t>大規模プロジェクトは、維持管理の技術革新や、大阪府（維持管理業務）の魅力向上にもつながる可能性がある。</w:t>
            </w:r>
          </w:p>
        </w:tc>
        <w:tc>
          <w:tcPr>
            <w:tcW w:w="4253" w:type="dxa"/>
          </w:tcPr>
          <w:p w:rsidR="0033583A" w:rsidRDefault="0033583A" w:rsidP="00B77127">
            <w:pPr>
              <w:spacing w:line="320" w:lineRule="exact"/>
              <w:rPr>
                <w:sz w:val="20"/>
                <w:szCs w:val="20"/>
              </w:rPr>
            </w:pPr>
            <w:r>
              <w:rPr>
                <w:rFonts w:hint="eastAsia"/>
                <w:sz w:val="20"/>
                <w:szCs w:val="20"/>
              </w:rPr>
              <w:t>「</w:t>
            </w:r>
            <w:r w:rsidRPr="008933D9">
              <w:rPr>
                <w:rFonts w:hint="eastAsia"/>
                <w:sz w:val="20"/>
                <w:szCs w:val="20"/>
              </w:rPr>
              <w:t>(2)</w:t>
            </w:r>
            <w:r w:rsidRPr="008933D9">
              <w:rPr>
                <w:rFonts w:hint="eastAsia"/>
                <w:sz w:val="20"/>
                <w:szCs w:val="20"/>
              </w:rPr>
              <w:t xml:space="preserve">　具体的な検討内容</w:t>
            </w:r>
            <w:r>
              <w:rPr>
                <w:rFonts w:hint="eastAsia"/>
                <w:sz w:val="20"/>
                <w:szCs w:val="20"/>
              </w:rPr>
              <w:t>」に、</w:t>
            </w:r>
          </w:p>
          <w:p w:rsidR="0033583A" w:rsidRDefault="0033583A" w:rsidP="00B77127">
            <w:pPr>
              <w:spacing w:line="320" w:lineRule="exact"/>
              <w:rPr>
                <w:sz w:val="20"/>
                <w:szCs w:val="20"/>
              </w:rPr>
            </w:pPr>
            <w:r>
              <w:rPr>
                <w:rFonts w:hint="eastAsia"/>
                <w:sz w:val="20"/>
                <w:szCs w:val="20"/>
              </w:rPr>
              <w:t>「</w:t>
            </w:r>
            <w:r w:rsidRPr="008933D9">
              <w:rPr>
                <w:rFonts w:hint="eastAsia"/>
                <w:sz w:val="20"/>
                <w:szCs w:val="20"/>
              </w:rPr>
              <w:t>3)</w:t>
            </w:r>
            <w:r w:rsidRPr="008933D9">
              <w:rPr>
                <w:rFonts w:hint="eastAsia"/>
                <w:sz w:val="20"/>
                <w:szCs w:val="20"/>
              </w:rPr>
              <w:t xml:space="preserve">　大規模更新プロジェクト</w:t>
            </w:r>
            <w:r>
              <w:rPr>
                <w:rFonts w:hint="eastAsia"/>
                <w:sz w:val="20"/>
                <w:szCs w:val="20"/>
              </w:rPr>
              <w:t>」の項目を追加した。</w:t>
            </w:r>
          </w:p>
          <w:p w:rsidR="00890651" w:rsidRDefault="009F64BD" w:rsidP="009F64BD">
            <w:pPr>
              <w:spacing w:line="320" w:lineRule="exact"/>
              <w:ind w:leftChars="100" w:left="210" w:firstLineChars="100" w:firstLine="200"/>
              <w:rPr>
                <w:sz w:val="20"/>
                <w:szCs w:val="20"/>
              </w:rPr>
            </w:pPr>
            <w:r w:rsidRPr="009F64BD">
              <w:rPr>
                <w:rFonts w:hint="eastAsia"/>
                <w:sz w:val="20"/>
                <w:szCs w:val="20"/>
              </w:rPr>
              <w:t>大規模な更新プロジェクトは、維持管理・更新の技術革新につながる可能性があるとともに、維持管理の重要性を象徴的に</w:t>
            </w:r>
            <w:r w:rsidRPr="009F64BD">
              <w:rPr>
                <w:rFonts w:hint="eastAsia"/>
                <w:sz w:val="20"/>
                <w:szCs w:val="20"/>
              </w:rPr>
              <w:t>PR</w:t>
            </w:r>
            <w:r w:rsidRPr="009F64BD">
              <w:rPr>
                <w:rFonts w:hint="eastAsia"/>
                <w:sz w:val="20"/>
                <w:szCs w:val="20"/>
              </w:rPr>
              <w:t>する材料となり得る可能性がある。</w:t>
            </w:r>
          </w:p>
          <w:p w:rsidR="009F64BD" w:rsidRDefault="009F64BD" w:rsidP="009F64BD">
            <w:pPr>
              <w:spacing w:line="320" w:lineRule="exact"/>
              <w:ind w:leftChars="100" w:left="210" w:firstLineChars="100" w:firstLine="200"/>
              <w:rPr>
                <w:sz w:val="20"/>
                <w:szCs w:val="20"/>
              </w:rPr>
            </w:pPr>
            <w:r w:rsidRPr="009F64BD">
              <w:rPr>
                <w:rFonts w:hint="eastAsia"/>
                <w:sz w:val="20"/>
                <w:szCs w:val="20"/>
              </w:rPr>
              <w:lastRenderedPageBreak/>
              <w:t>また、維持管理業務は、比較的、地道な作業が多いが、大規模更新プロジェクトは、学生や若い技術者を惹きつける魅力的な事業となる可能性がある。さらに、維持管理に対する理解を深めるためにも、更新の設計・施工に携わることは重要な意味を持つと考えられる。</w:t>
            </w:r>
          </w:p>
        </w:tc>
        <w:tc>
          <w:tcPr>
            <w:tcW w:w="850" w:type="dxa"/>
          </w:tcPr>
          <w:p w:rsidR="0033583A" w:rsidRDefault="009F64BD" w:rsidP="0076513D">
            <w:pPr>
              <w:spacing w:line="320" w:lineRule="exact"/>
              <w:rPr>
                <w:sz w:val="20"/>
                <w:szCs w:val="20"/>
              </w:rPr>
            </w:pPr>
            <w:r>
              <w:rPr>
                <w:rFonts w:hint="eastAsia"/>
                <w:sz w:val="20"/>
                <w:szCs w:val="20"/>
              </w:rPr>
              <w:lastRenderedPageBreak/>
              <w:t>P.83</w:t>
            </w:r>
          </w:p>
        </w:tc>
      </w:tr>
    </w:tbl>
    <w:p w:rsidR="0033583A" w:rsidRDefault="0033583A" w:rsidP="00F67DB2">
      <w:pPr>
        <w:rPr>
          <w:rFonts w:ascii="HG丸ｺﾞｼｯｸM-PRO" w:eastAsia="HG丸ｺﾞｼｯｸM-PRO" w:hAnsi="HG丸ｺﾞｼｯｸM-PRO"/>
          <w:sz w:val="28"/>
          <w:szCs w:val="28"/>
        </w:rPr>
      </w:pPr>
    </w:p>
    <w:p w:rsidR="008933D9" w:rsidRPr="00590880" w:rsidRDefault="00590880" w:rsidP="00F67DB2">
      <w:pPr>
        <w:rPr>
          <w:rFonts w:ascii="HG丸ｺﾞｼｯｸM-PRO" w:eastAsia="HG丸ｺﾞｼｯｸM-PRO" w:hAnsi="HG丸ｺﾞｼｯｸM-PRO"/>
          <w:sz w:val="28"/>
          <w:szCs w:val="28"/>
        </w:rPr>
      </w:pPr>
      <w:r w:rsidRPr="00590880">
        <w:rPr>
          <w:rFonts w:ascii="HG丸ｺﾞｼｯｸM-PRO" w:eastAsia="HG丸ｺﾞｼｯｸM-PRO" w:hAnsi="HG丸ｺﾞｼｯｸM-PRO" w:hint="eastAsia"/>
          <w:sz w:val="28"/>
          <w:szCs w:val="28"/>
        </w:rPr>
        <w:t>6. 維持管理マネジメント</w:t>
      </w:r>
    </w:p>
    <w:tbl>
      <w:tblPr>
        <w:tblStyle w:val="af"/>
        <w:tblW w:w="9180" w:type="dxa"/>
        <w:tblLook w:val="04A0" w:firstRow="1" w:lastRow="0" w:firstColumn="1" w:lastColumn="0" w:noHBand="0" w:noVBand="1"/>
      </w:tblPr>
      <w:tblGrid>
        <w:gridCol w:w="5353"/>
        <w:gridCol w:w="2977"/>
        <w:gridCol w:w="850"/>
      </w:tblGrid>
      <w:tr w:rsidR="0033583A" w:rsidRPr="00C76A8D" w:rsidTr="001C272E">
        <w:tc>
          <w:tcPr>
            <w:tcW w:w="5353"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意見等</w:t>
            </w:r>
          </w:p>
        </w:tc>
        <w:tc>
          <w:tcPr>
            <w:tcW w:w="2977"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対応</w:t>
            </w:r>
          </w:p>
        </w:tc>
        <w:tc>
          <w:tcPr>
            <w:tcW w:w="850" w:type="dxa"/>
            <w:shd w:val="clear" w:color="auto" w:fill="D9D9D9" w:themeFill="background1" w:themeFillShade="D9"/>
          </w:tcPr>
          <w:p w:rsidR="0033583A" w:rsidRPr="00C76A8D" w:rsidRDefault="0033583A" w:rsidP="0076513D">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掲載頁</w:t>
            </w:r>
          </w:p>
        </w:tc>
      </w:tr>
      <w:tr w:rsidR="0033583A" w:rsidRPr="00F67DB2" w:rsidTr="001C272E">
        <w:tc>
          <w:tcPr>
            <w:tcW w:w="5353" w:type="dxa"/>
          </w:tcPr>
          <w:p w:rsidR="0033583A" w:rsidRPr="00B77127" w:rsidRDefault="0033583A" w:rsidP="00B77127">
            <w:pPr>
              <w:spacing w:line="320" w:lineRule="exact"/>
              <w:rPr>
                <w:sz w:val="20"/>
                <w:szCs w:val="20"/>
              </w:rPr>
            </w:pPr>
            <w:r w:rsidRPr="00B77127">
              <w:rPr>
                <w:rFonts w:hint="eastAsia"/>
                <w:sz w:val="20"/>
                <w:szCs w:val="20"/>
              </w:rPr>
              <w:t>長寿命化対策により、何年長寿命化したなど、長寿命化の効果を定量的に計測することは困難。しかし、長寿命化対策することにより、例えば全体の健全度が上がったかなどのアウトプットとして評価は可能と考える。</w:t>
            </w:r>
          </w:p>
          <w:p w:rsidR="0033583A" w:rsidRPr="00F67DB2" w:rsidRDefault="0033583A" w:rsidP="00B77127">
            <w:pPr>
              <w:spacing w:line="320" w:lineRule="exact"/>
              <w:rPr>
                <w:sz w:val="20"/>
                <w:szCs w:val="20"/>
              </w:rPr>
            </w:pPr>
            <w:r w:rsidRPr="00B77127">
              <w:rPr>
                <w:rFonts w:hint="eastAsia"/>
                <w:sz w:val="20"/>
                <w:szCs w:val="20"/>
              </w:rPr>
              <w:t>分野毎に程度は異なると思われるが、説明の仕方としては分かりやすいと考える。</w:t>
            </w:r>
          </w:p>
        </w:tc>
        <w:tc>
          <w:tcPr>
            <w:tcW w:w="2977" w:type="dxa"/>
          </w:tcPr>
          <w:p w:rsidR="0033583A" w:rsidRPr="00F67DB2" w:rsidRDefault="0033583A" w:rsidP="00E161C3">
            <w:pPr>
              <w:spacing w:line="320" w:lineRule="exact"/>
              <w:rPr>
                <w:sz w:val="20"/>
                <w:szCs w:val="20"/>
              </w:rPr>
            </w:pPr>
            <w:r>
              <w:rPr>
                <w:rFonts w:hint="eastAsia"/>
                <w:sz w:val="20"/>
                <w:szCs w:val="20"/>
              </w:rPr>
              <w:t>「</w:t>
            </w:r>
            <w:r w:rsidRPr="00B77127">
              <w:rPr>
                <w:rFonts w:hint="eastAsia"/>
                <w:sz w:val="20"/>
                <w:szCs w:val="20"/>
              </w:rPr>
              <w:t>(4)</w:t>
            </w:r>
            <w:r w:rsidRPr="00B77127">
              <w:rPr>
                <w:rFonts w:hint="eastAsia"/>
                <w:sz w:val="20"/>
                <w:szCs w:val="20"/>
              </w:rPr>
              <w:t xml:space="preserve">　事業評価（効果）の検証</w:t>
            </w:r>
            <w:r>
              <w:rPr>
                <w:rFonts w:hint="eastAsia"/>
                <w:sz w:val="20"/>
                <w:szCs w:val="20"/>
              </w:rPr>
              <w:t>」を、全体検討部会での議論等を踏まえ、</w:t>
            </w:r>
            <w:r w:rsidRPr="00B77127">
              <w:rPr>
                <w:rFonts w:hint="eastAsia"/>
                <w:sz w:val="20"/>
                <w:szCs w:val="20"/>
              </w:rPr>
              <w:t>全体的に修正</w:t>
            </w:r>
            <w:r>
              <w:rPr>
                <w:rFonts w:hint="eastAsia"/>
                <w:sz w:val="20"/>
                <w:szCs w:val="20"/>
              </w:rPr>
              <w:t>した。</w:t>
            </w:r>
          </w:p>
        </w:tc>
        <w:tc>
          <w:tcPr>
            <w:tcW w:w="850" w:type="dxa"/>
          </w:tcPr>
          <w:p w:rsidR="0033583A" w:rsidRPr="00F67DB2" w:rsidRDefault="009F64BD" w:rsidP="0076513D">
            <w:pPr>
              <w:spacing w:line="320" w:lineRule="exact"/>
              <w:rPr>
                <w:sz w:val="20"/>
                <w:szCs w:val="20"/>
              </w:rPr>
            </w:pPr>
            <w:r>
              <w:rPr>
                <w:rFonts w:hint="eastAsia"/>
                <w:sz w:val="20"/>
                <w:szCs w:val="20"/>
              </w:rPr>
              <w:t>P.89</w:t>
            </w:r>
          </w:p>
        </w:tc>
      </w:tr>
    </w:tbl>
    <w:p w:rsidR="0033583A" w:rsidRDefault="0033583A" w:rsidP="00F67DB2">
      <w:r>
        <w:br w:type="page"/>
      </w:r>
    </w:p>
    <w:p w:rsidR="0033583A" w:rsidRPr="00590880" w:rsidRDefault="0033583A" w:rsidP="0033583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 xml:space="preserve">　おわりに</w:t>
      </w:r>
    </w:p>
    <w:tbl>
      <w:tblPr>
        <w:tblStyle w:val="af"/>
        <w:tblW w:w="9180" w:type="dxa"/>
        <w:tblLook w:val="04A0" w:firstRow="1" w:lastRow="0" w:firstColumn="1" w:lastColumn="0" w:noHBand="0" w:noVBand="1"/>
      </w:tblPr>
      <w:tblGrid>
        <w:gridCol w:w="7621"/>
        <w:gridCol w:w="709"/>
        <w:gridCol w:w="850"/>
      </w:tblGrid>
      <w:tr w:rsidR="0033583A" w:rsidRPr="00C76A8D" w:rsidTr="0033583A">
        <w:tc>
          <w:tcPr>
            <w:tcW w:w="7621" w:type="dxa"/>
            <w:shd w:val="clear" w:color="auto" w:fill="D9D9D9" w:themeFill="background1" w:themeFillShade="D9"/>
          </w:tcPr>
          <w:p w:rsidR="0033583A" w:rsidRPr="00C76A8D" w:rsidRDefault="0033583A" w:rsidP="00400518">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意見等</w:t>
            </w:r>
          </w:p>
        </w:tc>
        <w:tc>
          <w:tcPr>
            <w:tcW w:w="709" w:type="dxa"/>
            <w:shd w:val="clear" w:color="auto" w:fill="D9D9D9" w:themeFill="background1" w:themeFillShade="D9"/>
          </w:tcPr>
          <w:p w:rsidR="0033583A" w:rsidRPr="00C76A8D" w:rsidRDefault="0033583A" w:rsidP="00400518">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対応</w:t>
            </w:r>
          </w:p>
        </w:tc>
        <w:tc>
          <w:tcPr>
            <w:tcW w:w="850" w:type="dxa"/>
            <w:shd w:val="clear" w:color="auto" w:fill="D9D9D9" w:themeFill="background1" w:themeFillShade="D9"/>
          </w:tcPr>
          <w:p w:rsidR="0033583A" w:rsidRPr="00C76A8D" w:rsidRDefault="0033583A" w:rsidP="00400518">
            <w:pPr>
              <w:spacing w:line="320" w:lineRule="exact"/>
              <w:jc w:val="center"/>
              <w:rPr>
                <w:rFonts w:asciiTheme="majorEastAsia" w:eastAsiaTheme="majorEastAsia" w:hAnsiTheme="majorEastAsia"/>
                <w:sz w:val="20"/>
                <w:szCs w:val="20"/>
              </w:rPr>
            </w:pPr>
            <w:r w:rsidRPr="00C76A8D">
              <w:rPr>
                <w:rFonts w:asciiTheme="majorEastAsia" w:eastAsiaTheme="majorEastAsia" w:hAnsiTheme="majorEastAsia" w:hint="eastAsia"/>
                <w:sz w:val="20"/>
                <w:szCs w:val="20"/>
              </w:rPr>
              <w:t>掲載頁</w:t>
            </w:r>
          </w:p>
        </w:tc>
      </w:tr>
      <w:tr w:rsidR="0033583A" w:rsidRPr="00F67DB2" w:rsidTr="0033583A">
        <w:tc>
          <w:tcPr>
            <w:tcW w:w="7621" w:type="dxa"/>
          </w:tcPr>
          <w:p w:rsidR="005D543F" w:rsidRPr="005D543F" w:rsidRDefault="005D543F" w:rsidP="005D543F">
            <w:pPr>
              <w:spacing w:line="320" w:lineRule="exact"/>
              <w:rPr>
                <w:sz w:val="20"/>
                <w:szCs w:val="20"/>
              </w:rPr>
            </w:pPr>
            <w:r w:rsidRPr="005D543F">
              <w:rPr>
                <w:rFonts w:hint="eastAsia"/>
                <w:sz w:val="20"/>
                <w:szCs w:val="20"/>
              </w:rPr>
              <w:t>本審議会では、大阪府の都市基盤施設の現状や課題を分析し、効率的・効果的な維持管理・更新に関する長寿命化計画の策定に向けての答申を行った。</w:t>
            </w:r>
          </w:p>
          <w:p w:rsidR="005D543F" w:rsidRPr="005D543F" w:rsidRDefault="005D543F" w:rsidP="005D543F">
            <w:pPr>
              <w:spacing w:line="320" w:lineRule="exact"/>
              <w:rPr>
                <w:sz w:val="20"/>
                <w:szCs w:val="20"/>
              </w:rPr>
            </w:pPr>
            <w:r w:rsidRPr="005D543F">
              <w:rPr>
                <w:rFonts w:hint="eastAsia"/>
                <w:sz w:val="20"/>
                <w:szCs w:val="20"/>
              </w:rPr>
              <w:t>今後、本答申を踏まえ、より一層戦略的な維持管理を着実に実践することで、府民の安全・安心の確保はもとより、施設の長寿命化、ひいては、ライフサイクルコストの縮減にもつながっていくことと考えられる。</w:t>
            </w:r>
          </w:p>
          <w:p w:rsidR="005D543F" w:rsidRPr="005D543F" w:rsidRDefault="005D543F" w:rsidP="005D543F">
            <w:pPr>
              <w:spacing w:line="320" w:lineRule="exact"/>
              <w:rPr>
                <w:sz w:val="20"/>
                <w:szCs w:val="20"/>
              </w:rPr>
            </w:pPr>
          </w:p>
          <w:p w:rsidR="005D543F" w:rsidRPr="005D543F" w:rsidRDefault="005D543F" w:rsidP="005D543F">
            <w:pPr>
              <w:spacing w:line="320" w:lineRule="exact"/>
              <w:rPr>
                <w:sz w:val="20"/>
                <w:szCs w:val="20"/>
              </w:rPr>
            </w:pPr>
            <w:r w:rsidRPr="005D543F">
              <w:rPr>
                <w:rFonts w:hint="eastAsia"/>
                <w:sz w:val="20"/>
                <w:szCs w:val="20"/>
              </w:rPr>
              <w:t>大阪府においては、本答申を基に「大阪府都市基盤施設長寿命化計画」を策定していくこととなるが、計画策定は施設の長寿命化への第一歩であり、継続的に実践・評価・改善を重ねるとともに、社会経済情勢の変化や新技術、材料、工法の開発など、柔軟に対応し、絶え間なく挑戦されることを強く求める。また、維持管理・更新の取組みを持続可能なものにしていくためにも、確実な技術継承はもとより、分野毎の専門的な技術職員を育成・確保する仕組みについて早急に構築されることを期待する。</w:t>
            </w:r>
          </w:p>
          <w:p w:rsidR="005D543F" w:rsidRPr="005D543F" w:rsidRDefault="005D543F" w:rsidP="005D543F">
            <w:pPr>
              <w:spacing w:line="320" w:lineRule="exact"/>
              <w:rPr>
                <w:sz w:val="20"/>
                <w:szCs w:val="20"/>
              </w:rPr>
            </w:pPr>
            <w:r w:rsidRPr="005D543F">
              <w:rPr>
                <w:rFonts w:hint="eastAsia"/>
                <w:sz w:val="20"/>
                <w:szCs w:val="20"/>
              </w:rPr>
              <w:t>さらに、府内市町村など関係機関に対しても、その周知を図るとともに、より一層の連携強化を図り、府内全体の安全・安心の確保に努めることを切望する。</w:t>
            </w:r>
          </w:p>
          <w:p w:rsidR="005D543F" w:rsidRPr="005D543F" w:rsidRDefault="005D543F" w:rsidP="005D543F">
            <w:pPr>
              <w:spacing w:line="320" w:lineRule="exact"/>
              <w:rPr>
                <w:sz w:val="20"/>
                <w:szCs w:val="20"/>
              </w:rPr>
            </w:pPr>
          </w:p>
          <w:p w:rsidR="005D543F" w:rsidRPr="005D543F" w:rsidRDefault="005D543F" w:rsidP="005D543F">
            <w:pPr>
              <w:spacing w:line="320" w:lineRule="exact"/>
              <w:rPr>
                <w:sz w:val="20"/>
                <w:szCs w:val="20"/>
              </w:rPr>
            </w:pPr>
            <w:r w:rsidRPr="005D543F">
              <w:rPr>
                <w:rFonts w:hint="eastAsia"/>
                <w:sz w:val="20"/>
                <w:szCs w:val="20"/>
              </w:rPr>
              <w:t>本答申では、今後</w:t>
            </w:r>
            <w:r w:rsidRPr="005D543F">
              <w:rPr>
                <w:rFonts w:hint="eastAsia"/>
                <w:sz w:val="20"/>
                <w:szCs w:val="20"/>
              </w:rPr>
              <w:t>10</w:t>
            </w:r>
            <w:r w:rsidRPr="005D543F">
              <w:rPr>
                <w:rFonts w:hint="eastAsia"/>
                <w:sz w:val="20"/>
                <w:szCs w:val="20"/>
              </w:rPr>
              <w:t>年を見通した維持管理の基本的な考え方を示したが、今後、継続的に検討すべき内容も含まれている。例えば、それぞれの施設のもつリスクに着目し、安全・安心を最優先とする観点から更新の見極めを行うことは重要であるが、技術的に解決しなければならない課題も多い。そのため、点検結果やデータを蓄積しつつ、精度向上や最適なあり方を追求していくことが重要である。あわせて、本審議会等の場を活用して、「大阪府都市基盤施設長寿命化計画」に基づく取組の妥当性等について、引き続き確認・評価を行う必要があると考えている。</w:t>
            </w:r>
          </w:p>
          <w:p w:rsidR="005D543F" w:rsidRPr="005D543F" w:rsidRDefault="005D543F" w:rsidP="005D543F">
            <w:pPr>
              <w:spacing w:line="320" w:lineRule="exact"/>
              <w:rPr>
                <w:sz w:val="20"/>
                <w:szCs w:val="20"/>
              </w:rPr>
            </w:pPr>
          </w:p>
          <w:p w:rsidR="005D543F" w:rsidRPr="005D543F" w:rsidRDefault="005D543F" w:rsidP="005D543F">
            <w:pPr>
              <w:spacing w:line="320" w:lineRule="exact"/>
              <w:rPr>
                <w:sz w:val="20"/>
                <w:szCs w:val="20"/>
              </w:rPr>
            </w:pPr>
            <w:r w:rsidRPr="005D543F">
              <w:rPr>
                <w:rFonts w:hint="eastAsia"/>
                <w:sz w:val="20"/>
                <w:szCs w:val="20"/>
              </w:rPr>
              <w:t>最後に、都市基盤施設は府民にとって最も身近な行政サービスである。</w:t>
            </w:r>
          </w:p>
          <w:p w:rsidR="005D543F" w:rsidRPr="005D543F" w:rsidRDefault="005D543F" w:rsidP="005D543F">
            <w:pPr>
              <w:spacing w:line="320" w:lineRule="exact"/>
              <w:rPr>
                <w:sz w:val="20"/>
                <w:szCs w:val="20"/>
              </w:rPr>
            </w:pPr>
            <w:r w:rsidRPr="005D543F">
              <w:rPr>
                <w:rFonts w:hint="eastAsia"/>
                <w:sz w:val="20"/>
                <w:szCs w:val="20"/>
              </w:rPr>
              <w:t>それらの機能や安全性は、日々の維持管理を着実に実施することにより良好に保たれ、日常生活の中で、都市基盤施設が意識されないことが最良の維持管理と言える。しかしながら府民には、維持管理の重要性や取組の必要性が理解されない反面があり、そのため、ユーザーである府民と行政の間に維持管理に関する意識に隔たりが生じている。それらのことが、将来にわたり都市基盤施設の長寿命化に取組む上で大きな課題になることが懸念される。</w:t>
            </w:r>
          </w:p>
          <w:p w:rsidR="0033583A" w:rsidRPr="00957D8D" w:rsidRDefault="005D543F" w:rsidP="005D543F">
            <w:pPr>
              <w:spacing w:line="320" w:lineRule="exact"/>
              <w:rPr>
                <w:sz w:val="20"/>
                <w:szCs w:val="20"/>
              </w:rPr>
            </w:pPr>
            <w:r w:rsidRPr="005D543F">
              <w:rPr>
                <w:rFonts w:hint="eastAsia"/>
                <w:sz w:val="20"/>
                <w:szCs w:val="20"/>
              </w:rPr>
              <w:t>そこで、関係者一人ひとりがそのことを自覚し、府民等に対し、都市基盤施設の意義・重要性を伝えるとともに、長寿命化に関する大阪府の取組の広報に心掛け、府民の理解・信頼・共感が得られるように努めることも重要な取組であることを申し添える。</w:t>
            </w:r>
          </w:p>
        </w:tc>
        <w:tc>
          <w:tcPr>
            <w:tcW w:w="709" w:type="dxa"/>
          </w:tcPr>
          <w:p w:rsidR="0033583A" w:rsidRPr="00F67DB2" w:rsidRDefault="0033583A" w:rsidP="00400518">
            <w:pPr>
              <w:spacing w:line="320" w:lineRule="exact"/>
              <w:rPr>
                <w:sz w:val="20"/>
                <w:szCs w:val="20"/>
              </w:rPr>
            </w:pPr>
            <w:r>
              <w:rPr>
                <w:rFonts w:hint="eastAsia"/>
                <w:sz w:val="20"/>
                <w:szCs w:val="20"/>
              </w:rPr>
              <w:t>反映</w:t>
            </w:r>
          </w:p>
        </w:tc>
        <w:tc>
          <w:tcPr>
            <w:tcW w:w="850" w:type="dxa"/>
          </w:tcPr>
          <w:p w:rsidR="0033583A" w:rsidRPr="00F67DB2" w:rsidRDefault="0033583A" w:rsidP="00400518">
            <w:pPr>
              <w:spacing w:line="320" w:lineRule="exact"/>
              <w:rPr>
                <w:sz w:val="20"/>
                <w:szCs w:val="20"/>
              </w:rPr>
            </w:pPr>
            <w:r>
              <w:rPr>
                <w:rFonts w:hint="eastAsia"/>
                <w:sz w:val="20"/>
                <w:szCs w:val="20"/>
              </w:rPr>
              <w:t>P.92</w:t>
            </w:r>
          </w:p>
        </w:tc>
      </w:tr>
    </w:tbl>
    <w:p w:rsidR="008933D9" w:rsidRPr="00F67DB2" w:rsidRDefault="008933D9" w:rsidP="0033583A"/>
    <w:sectPr w:rsidR="008933D9" w:rsidRPr="00F67DB2" w:rsidSect="00540A41">
      <w:headerReference w:type="default" r:id="rId9"/>
      <w:footerReference w:type="even" r:id="rId10"/>
      <w:footerReference w:type="default" r:id="rId11"/>
      <w:pgSz w:w="11907" w:h="16839" w:code="9"/>
      <w:pgMar w:top="1418" w:right="1418" w:bottom="1418" w:left="1418" w:header="851" w:footer="851"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7C" w:rsidRDefault="00FB0D7C">
      <w:r>
        <w:separator/>
      </w:r>
    </w:p>
  </w:endnote>
  <w:endnote w:type="continuationSeparator" w:id="0">
    <w:p w:rsidR="00FB0D7C" w:rsidRDefault="00FB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E3" w:rsidRDefault="004709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D5FE8">
      <w:rPr>
        <w:rStyle w:val="a6"/>
        <w:noProof/>
      </w:rPr>
      <w:t>2-7</w:t>
    </w:r>
    <w:r>
      <w:rPr>
        <w:rStyle w:val="a6"/>
      </w:rPr>
      <w:fldChar w:fldCharType="end"/>
    </w:r>
  </w:p>
  <w:p w:rsidR="004B27E3" w:rsidRDefault="004B27E3">
    <w:pPr>
      <w:pStyle w:val="a4"/>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E3" w:rsidRDefault="00B40E0C" w:rsidP="00B40E0C">
    <w:pPr>
      <w:pStyle w:val="a4"/>
      <w:jc w:val="center"/>
    </w:pPr>
    <w:r>
      <w:fldChar w:fldCharType="begin"/>
    </w:r>
    <w:r>
      <w:instrText>PAGE   \* MERGEFORMAT</w:instrText>
    </w:r>
    <w:r>
      <w:fldChar w:fldCharType="separate"/>
    </w:r>
    <w:r w:rsidR="00665A6A" w:rsidRPr="00665A6A">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7C" w:rsidRDefault="00FB0D7C">
      <w:r>
        <w:separator/>
      </w:r>
    </w:p>
  </w:footnote>
  <w:footnote w:type="continuationSeparator" w:id="0">
    <w:p w:rsidR="00FB0D7C" w:rsidRDefault="00FB0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51" w:rsidRPr="00890651" w:rsidRDefault="00890651" w:rsidP="00890651">
    <w:pPr>
      <w:pStyle w:val="a7"/>
      <w:ind w:firstLineChars="2300" w:firstLine="7360"/>
      <w:rPr>
        <w:rFonts w:ascii="Meiryo UI" w:eastAsia="Meiryo UI" w:hAnsi="Meiryo UI" w:cs="Meiryo UI"/>
        <w:b/>
        <w:sz w:val="32"/>
        <w:szCs w:val="32"/>
      </w:rPr>
    </w:pPr>
    <w:r>
      <w:rPr>
        <w:rFonts w:ascii="Meiryo UI" w:eastAsia="Meiryo UI" w:hAnsi="Meiryo UI" w:cs="Meiryo UI" w:hint="eastAsia"/>
        <w:b/>
        <w:sz w:val="32"/>
        <w:szCs w:val="32"/>
      </w:rPr>
      <w:t>参考資料２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127A0"/>
    <w:multiLevelType w:val="multilevel"/>
    <w:tmpl w:val="9AC2A2E0"/>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ja-JP" w:vendorID="64" w:dllVersion="131078" w:nlCheck="1" w:checkStyle="1"/>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76"/>
    <w:rsid w:val="000108AB"/>
    <w:rsid w:val="00070544"/>
    <w:rsid w:val="00076E1C"/>
    <w:rsid w:val="000A5340"/>
    <w:rsid w:val="000D0CCA"/>
    <w:rsid w:val="00136EC5"/>
    <w:rsid w:val="001C272E"/>
    <w:rsid w:val="001E1DDD"/>
    <w:rsid w:val="001F714F"/>
    <w:rsid w:val="00242931"/>
    <w:rsid w:val="0033583A"/>
    <w:rsid w:val="00361331"/>
    <w:rsid w:val="0047095B"/>
    <w:rsid w:val="0048219E"/>
    <w:rsid w:val="004B27E3"/>
    <w:rsid w:val="00540A41"/>
    <w:rsid w:val="00590880"/>
    <w:rsid w:val="005D543F"/>
    <w:rsid w:val="00601ED1"/>
    <w:rsid w:val="00656476"/>
    <w:rsid w:val="00665A6A"/>
    <w:rsid w:val="006F32ED"/>
    <w:rsid w:val="00737FEE"/>
    <w:rsid w:val="007739DC"/>
    <w:rsid w:val="00813B6B"/>
    <w:rsid w:val="00890651"/>
    <w:rsid w:val="008933D9"/>
    <w:rsid w:val="00940AF7"/>
    <w:rsid w:val="00957D8D"/>
    <w:rsid w:val="009F64BD"/>
    <w:rsid w:val="009F7171"/>
    <w:rsid w:val="00B041AB"/>
    <w:rsid w:val="00B40E0C"/>
    <w:rsid w:val="00B77127"/>
    <w:rsid w:val="00BD5FE8"/>
    <w:rsid w:val="00C76A8D"/>
    <w:rsid w:val="00D63246"/>
    <w:rsid w:val="00DE7DDB"/>
    <w:rsid w:val="00E161C3"/>
    <w:rsid w:val="00E96F4A"/>
    <w:rsid w:val="00ED0E2A"/>
    <w:rsid w:val="00F03C3F"/>
    <w:rsid w:val="00F06E24"/>
    <w:rsid w:val="00F67DB2"/>
    <w:rsid w:val="00F969C7"/>
    <w:rsid w:val="00FB0D7C"/>
    <w:rsid w:val="00FF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ED"/>
    <w:pPr>
      <w:widowControl w:val="0"/>
      <w:jc w:val="both"/>
    </w:pPr>
    <w:rPr>
      <w:kern w:val="2"/>
      <w:sz w:val="21"/>
      <w:szCs w:val="24"/>
    </w:rPr>
  </w:style>
  <w:style w:type="paragraph" w:styleId="1">
    <w:name w:val="heading 1"/>
    <w:basedOn w:val="a0"/>
    <w:next w:val="10"/>
    <w:qFormat/>
    <w:rsid w:val="006F32ED"/>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qFormat/>
    <w:rsid w:val="006F32ED"/>
    <w:pPr>
      <w:keepNext/>
      <w:keepLines/>
      <w:widowControl/>
      <w:numPr>
        <w:ilvl w:val="1"/>
        <w:numId w:val="1"/>
      </w:numPr>
      <w:outlineLvl w:val="1"/>
    </w:pPr>
    <w:rPr>
      <w:rFonts w:ascii="Arial" w:eastAsia="ＭＳ ゴシック" w:hAnsi="Arial"/>
      <w:sz w:val="24"/>
    </w:rPr>
  </w:style>
  <w:style w:type="paragraph" w:styleId="3">
    <w:name w:val="heading 3"/>
    <w:basedOn w:val="a0"/>
    <w:next w:val="30"/>
    <w:qFormat/>
    <w:rsid w:val="006F32ED"/>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rsid w:val="006F32ED"/>
    <w:pPr>
      <w:keepNext/>
      <w:keepLines/>
      <w:widowControl/>
      <w:numPr>
        <w:ilvl w:val="3"/>
        <w:numId w:val="1"/>
      </w:numPr>
      <w:outlineLvl w:val="3"/>
    </w:pPr>
    <w:rPr>
      <w:rFonts w:ascii="Arial" w:eastAsia="ＭＳ ゴシック" w:hAnsi="Arial"/>
      <w:bCs/>
    </w:rPr>
  </w:style>
  <w:style w:type="paragraph" w:styleId="5">
    <w:name w:val="heading 5"/>
    <w:basedOn w:val="a0"/>
    <w:next w:val="50"/>
    <w:qFormat/>
    <w:rsid w:val="006F32ED"/>
    <w:pPr>
      <w:keepNext/>
      <w:keepLines/>
      <w:widowControl/>
      <w:numPr>
        <w:ilvl w:val="4"/>
        <w:numId w:val="1"/>
      </w:numPr>
      <w:outlineLvl w:val="4"/>
    </w:pPr>
    <w:rPr>
      <w:rFonts w:ascii="Arial" w:eastAsia="ＭＳ ゴシック" w:hAnsi="Arial"/>
    </w:rPr>
  </w:style>
  <w:style w:type="paragraph" w:styleId="6">
    <w:name w:val="heading 6"/>
    <w:basedOn w:val="a0"/>
    <w:next w:val="60"/>
    <w:qFormat/>
    <w:rsid w:val="006F32ED"/>
    <w:pPr>
      <w:keepNext/>
      <w:keepLines/>
      <w:widowControl/>
      <w:numPr>
        <w:ilvl w:val="5"/>
        <w:numId w:val="1"/>
      </w:numPr>
      <w:outlineLvl w:val="5"/>
    </w:pPr>
    <w:rPr>
      <w:rFonts w:ascii="Arial" w:eastAsia="ＭＳ ゴシック" w:hAnsi="Arial"/>
      <w:bCs/>
    </w:rPr>
  </w:style>
  <w:style w:type="paragraph" w:styleId="7">
    <w:name w:val="heading 7"/>
    <w:basedOn w:val="a0"/>
    <w:next w:val="70"/>
    <w:qFormat/>
    <w:rsid w:val="006F32ED"/>
    <w:pPr>
      <w:keepNext/>
      <w:keepLines/>
      <w:widowControl/>
      <w:numPr>
        <w:ilvl w:val="6"/>
        <w:numId w:val="1"/>
      </w:numPr>
      <w:outlineLvl w:val="6"/>
    </w:pPr>
    <w:rPr>
      <w:rFonts w:ascii="Arial" w:eastAsia="ＭＳ ゴシック" w:hAnsi="Arial"/>
    </w:rPr>
  </w:style>
  <w:style w:type="paragraph" w:styleId="8">
    <w:name w:val="heading 8"/>
    <w:basedOn w:val="a0"/>
    <w:next w:val="80"/>
    <w:qFormat/>
    <w:rsid w:val="006F32ED"/>
    <w:pPr>
      <w:keepNext/>
      <w:keepLines/>
      <w:widowControl/>
      <w:numPr>
        <w:ilvl w:val="7"/>
        <w:numId w:val="1"/>
      </w:numPr>
      <w:outlineLvl w:val="7"/>
    </w:pPr>
    <w:rPr>
      <w:rFonts w:ascii="Arial" w:eastAsia="ＭＳ ゴシック" w:hAnsi="Arial"/>
    </w:rPr>
  </w:style>
  <w:style w:type="paragraph" w:styleId="9">
    <w:name w:val="heading 9"/>
    <w:basedOn w:val="a0"/>
    <w:next w:val="90"/>
    <w:qFormat/>
    <w:rsid w:val="006F32ED"/>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rsid w:val="006F32ED"/>
  </w:style>
  <w:style w:type="paragraph" w:customStyle="1" w:styleId="10">
    <w:name w:val="本文 1"/>
    <w:basedOn w:val="a0"/>
    <w:rsid w:val="006F32ED"/>
    <w:pPr>
      <w:widowControl/>
      <w:ind w:firstLineChars="100" w:firstLine="100"/>
    </w:pPr>
  </w:style>
  <w:style w:type="paragraph" w:styleId="20">
    <w:name w:val="Body Text 2"/>
    <w:basedOn w:val="a0"/>
    <w:semiHidden/>
    <w:rsid w:val="006F32ED"/>
    <w:pPr>
      <w:widowControl/>
      <w:ind w:leftChars="50" w:left="50" w:firstLineChars="100" w:firstLine="100"/>
    </w:pPr>
  </w:style>
  <w:style w:type="paragraph" w:styleId="30">
    <w:name w:val="Body Text 3"/>
    <w:basedOn w:val="a0"/>
    <w:semiHidden/>
    <w:rsid w:val="006F32ED"/>
    <w:pPr>
      <w:widowControl/>
      <w:ind w:leftChars="50" w:left="50" w:firstLineChars="100" w:firstLine="100"/>
    </w:pPr>
    <w:rPr>
      <w:szCs w:val="16"/>
    </w:rPr>
  </w:style>
  <w:style w:type="paragraph" w:customStyle="1" w:styleId="40">
    <w:name w:val="本文 4"/>
    <w:basedOn w:val="a0"/>
    <w:rsid w:val="006F32ED"/>
    <w:pPr>
      <w:widowControl/>
      <w:ind w:leftChars="200" w:left="200" w:firstLineChars="100" w:firstLine="100"/>
    </w:pPr>
  </w:style>
  <w:style w:type="paragraph" w:customStyle="1" w:styleId="50">
    <w:name w:val="本文 5"/>
    <w:basedOn w:val="a0"/>
    <w:rsid w:val="006F32ED"/>
    <w:pPr>
      <w:widowControl/>
      <w:ind w:leftChars="350" w:left="350" w:firstLineChars="100" w:firstLine="100"/>
    </w:pPr>
  </w:style>
  <w:style w:type="paragraph" w:customStyle="1" w:styleId="60">
    <w:name w:val="本文 6"/>
    <w:basedOn w:val="a0"/>
    <w:rsid w:val="006F32ED"/>
    <w:pPr>
      <w:widowControl/>
      <w:ind w:leftChars="350" w:left="350" w:firstLineChars="100" w:firstLine="100"/>
    </w:pPr>
  </w:style>
  <w:style w:type="paragraph" w:customStyle="1" w:styleId="70">
    <w:name w:val="本文 7"/>
    <w:basedOn w:val="a0"/>
    <w:rsid w:val="006F32ED"/>
    <w:pPr>
      <w:widowControl/>
      <w:ind w:leftChars="400" w:left="400" w:firstLineChars="100" w:firstLine="100"/>
    </w:pPr>
  </w:style>
  <w:style w:type="paragraph" w:customStyle="1" w:styleId="80">
    <w:name w:val="本文 8"/>
    <w:basedOn w:val="a0"/>
    <w:rsid w:val="006F32ED"/>
    <w:pPr>
      <w:widowControl/>
      <w:ind w:leftChars="450" w:left="450" w:firstLineChars="100" w:firstLine="100"/>
    </w:pPr>
  </w:style>
  <w:style w:type="paragraph" w:customStyle="1" w:styleId="90">
    <w:name w:val="本文 9"/>
    <w:basedOn w:val="a"/>
    <w:rsid w:val="006F32ED"/>
    <w:pPr>
      <w:widowControl/>
      <w:ind w:leftChars="500" w:left="500" w:firstLineChars="100" w:firstLine="100"/>
    </w:pPr>
  </w:style>
  <w:style w:type="paragraph" w:styleId="a4">
    <w:name w:val="footer"/>
    <w:basedOn w:val="a"/>
    <w:link w:val="a5"/>
    <w:uiPriority w:val="99"/>
    <w:rsid w:val="006F32ED"/>
    <w:pPr>
      <w:tabs>
        <w:tab w:val="center" w:pos="4252"/>
        <w:tab w:val="right" w:pos="8504"/>
      </w:tabs>
      <w:snapToGrid w:val="0"/>
      <w:jc w:val="right"/>
    </w:pPr>
  </w:style>
  <w:style w:type="character" w:styleId="a6">
    <w:name w:val="page number"/>
    <w:basedOn w:val="a1"/>
    <w:semiHidden/>
    <w:rsid w:val="006F32ED"/>
  </w:style>
  <w:style w:type="paragraph" w:styleId="a7">
    <w:name w:val="header"/>
    <w:basedOn w:val="a"/>
    <w:link w:val="a8"/>
    <w:uiPriority w:val="99"/>
    <w:rsid w:val="006F32ED"/>
    <w:pPr>
      <w:tabs>
        <w:tab w:val="center" w:pos="4252"/>
        <w:tab w:val="right" w:pos="8504"/>
      </w:tabs>
      <w:snapToGrid w:val="0"/>
    </w:pPr>
  </w:style>
  <w:style w:type="paragraph" w:styleId="a9">
    <w:name w:val="caption"/>
    <w:basedOn w:val="a0"/>
    <w:next w:val="a"/>
    <w:qFormat/>
    <w:rsid w:val="006F32ED"/>
    <w:pPr>
      <w:keepLines/>
      <w:spacing w:beforeLines="50" w:before="50" w:afterLines="50" w:after="50"/>
      <w:jc w:val="center"/>
    </w:pPr>
    <w:rPr>
      <w:rFonts w:ascii="Arial" w:eastAsia="ＭＳ ゴシック" w:hAnsi="Arial"/>
      <w:bCs/>
      <w:szCs w:val="20"/>
    </w:rPr>
  </w:style>
  <w:style w:type="paragraph" w:customStyle="1" w:styleId="21">
    <w:name w:val="タイトル 2"/>
    <w:basedOn w:val="a0"/>
    <w:next w:val="a"/>
    <w:rsid w:val="006F32ED"/>
    <w:pPr>
      <w:jc w:val="center"/>
    </w:pPr>
    <w:rPr>
      <w:rFonts w:ascii="Arial" w:eastAsia="ＭＳ ゴシック" w:hAnsi="Arial"/>
      <w:sz w:val="44"/>
    </w:rPr>
  </w:style>
  <w:style w:type="paragraph" w:customStyle="1" w:styleId="11">
    <w:name w:val="タイトル 1"/>
    <w:basedOn w:val="a0"/>
    <w:next w:val="a"/>
    <w:rsid w:val="006F32ED"/>
    <w:pPr>
      <w:jc w:val="center"/>
    </w:pPr>
    <w:rPr>
      <w:rFonts w:ascii="Arial" w:eastAsia="ＭＳ ゴシック" w:hAnsi="Arial"/>
      <w:sz w:val="48"/>
    </w:rPr>
  </w:style>
  <w:style w:type="paragraph" w:customStyle="1" w:styleId="31">
    <w:name w:val="タイトル 3"/>
    <w:basedOn w:val="a0"/>
    <w:next w:val="a"/>
    <w:rsid w:val="006F32ED"/>
    <w:pPr>
      <w:jc w:val="center"/>
    </w:pPr>
    <w:rPr>
      <w:rFonts w:ascii="Arial" w:eastAsia="ＭＳ ゴシック" w:hAnsi="Arial"/>
      <w:sz w:val="40"/>
    </w:rPr>
  </w:style>
  <w:style w:type="paragraph" w:customStyle="1" w:styleId="41">
    <w:name w:val="タイトル 4"/>
    <w:basedOn w:val="a0"/>
    <w:next w:val="a"/>
    <w:rsid w:val="006F32ED"/>
    <w:pPr>
      <w:jc w:val="center"/>
    </w:pPr>
    <w:rPr>
      <w:rFonts w:ascii="Arial" w:eastAsia="ＭＳ ゴシック" w:hAnsi="Arial"/>
      <w:sz w:val="24"/>
    </w:rPr>
  </w:style>
  <w:style w:type="paragraph" w:customStyle="1" w:styleId="aa">
    <w:name w:val="サマリー"/>
    <w:basedOn w:val="a"/>
    <w:rsid w:val="006F32ED"/>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rsid w:val="006F32ED"/>
    <w:pPr>
      <w:widowControl/>
      <w:ind w:leftChars="100" w:left="700" w:hangingChars="600" w:hanging="600"/>
    </w:pPr>
    <w:rPr>
      <w:sz w:val="24"/>
    </w:rPr>
  </w:style>
  <w:style w:type="paragraph" w:customStyle="1" w:styleId="22">
    <w:name w:val="はじめに 2"/>
    <w:basedOn w:val="a0"/>
    <w:next w:val="42"/>
    <w:rsid w:val="006F32ED"/>
    <w:pPr>
      <w:keepNext/>
      <w:keepLines/>
      <w:widowControl/>
    </w:pPr>
    <w:rPr>
      <w:rFonts w:ascii="Arial" w:eastAsia="ＭＳ ゴシック" w:hAnsi="Arial"/>
      <w:sz w:val="24"/>
    </w:rPr>
  </w:style>
  <w:style w:type="paragraph" w:customStyle="1" w:styleId="32">
    <w:name w:val="はじめに 3"/>
    <w:basedOn w:val="a0"/>
    <w:rsid w:val="006F32ED"/>
    <w:pPr>
      <w:widowControl/>
      <w:ind w:firstLineChars="100" w:firstLine="100"/>
    </w:pPr>
    <w:rPr>
      <w:sz w:val="24"/>
    </w:rPr>
  </w:style>
  <w:style w:type="paragraph" w:customStyle="1" w:styleId="12">
    <w:name w:val="はじめに 1"/>
    <w:basedOn w:val="a0"/>
    <w:next w:val="32"/>
    <w:rsid w:val="006F32ED"/>
    <w:pPr>
      <w:keepNext/>
      <w:keepLines/>
      <w:widowControl/>
      <w:snapToGrid w:val="0"/>
    </w:pPr>
    <w:rPr>
      <w:rFonts w:ascii="Arial" w:eastAsia="ＭＳ ゴシック" w:hAnsi="Arial"/>
      <w:sz w:val="28"/>
    </w:rPr>
  </w:style>
  <w:style w:type="paragraph" w:styleId="13">
    <w:name w:val="toc 1"/>
    <w:basedOn w:val="a"/>
    <w:next w:val="a"/>
    <w:autoRedefine/>
    <w:semiHidden/>
    <w:rsid w:val="006F32ED"/>
    <w:pPr>
      <w:spacing w:beforeLines="100" w:before="100"/>
    </w:pPr>
    <w:rPr>
      <w:rFonts w:ascii="Arial" w:eastAsia="ＭＳ ゴシック" w:hAnsi="Arial"/>
      <w:sz w:val="24"/>
    </w:rPr>
  </w:style>
  <w:style w:type="paragraph" w:styleId="23">
    <w:name w:val="toc 2"/>
    <w:basedOn w:val="a"/>
    <w:next w:val="a"/>
    <w:autoRedefine/>
    <w:semiHidden/>
    <w:rsid w:val="006F32ED"/>
    <w:pPr>
      <w:spacing w:beforeLines="50" w:before="180"/>
      <w:ind w:leftChars="100" w:left="210"/>
    </w:pPr>
    <w:rPr>
      <w:rFonts w:ascii="Arial" w:eastAsia="ＭＳ ゴシック" w:hAnsi="Arial"/>
    </w:rPr>
  </w:style>
  <w:style w:type="paragraph" w:styleId="33">
    <w:name w:val="toc 3"/>
    <w:basedOn w:val="a"/>
    <w:next w:val="a"/>
    <w:autoRedefine/>
    <w:semiHidden/>
    <w:rsid w:val="006F32ED"/>
    <w:pPr>
      <w:ind w:leftChars="200" w:left="200"/>
    </w:pPr>
  </w:style>
  <w:style w:type="character" w:styleId="ab">
    <w:name w:val="Hyperlink"/>
    <w:basedOn w:val="a1"/>
    <w:semiHidden/>
    <w:rsid w:val="006F32ED"/>
    <w:rPr>
      <w:color w:val="0000FF"/>
      <w:u w:val="single"/>
    </w:rPr>
  </w:style>
  <w:style w:type="paragraph" w:styleId="43">
    <w:name w:val="toc 4"/>
    <w:basedOn w:val="a"/>
    <w:next w:val="a"/>
    <w:autoRedefine/>
    <w:semiHidden/>
    <w:rsid w:val="006F32ED"/>
    <w:pPr>
      <w:ind w:leftChars="300" w:left="630"/>
    </w:pPr>
  </w:style>
  <w:style w:type="paragraph" w:styleId="51">
    <w:name w:val="toc 5"/>
    <w:basedOn w:val="a"/>
    <w:next w:val="a"/>
    <w:autoRedefine/>
    <w:semiHidden/>
    <w:rsid w:val="006F32ED"/>
    <w:pPr>
      <w:ind w:leftChars="400" w:left="840"/>
    </w:pPr>
  </w:style>
  <w:style w:type="paragraph" w:styleId="61">
    <w:name w:val="toc 6"/>
    <w:basedOn w:val="a"/>
    <w:next w:val="a"/>
    <w:autoRedefine/>
    <w:semiHidden/>
    <w:rsid w:val="006F32ED"/>
    <w:pPr>
      <w:ind w:leftChars="500" w:left="1050"/>
    </w:pPr>
  </w:style>
  <w:style w:type="paragraph" w:styleId="71">
    <w:name w:val="toc 7"/>
    <w:basedOn w:val="a"/>
    <w:next w:val="a"/>
    <w:autoRedefine/>
    <w:semiHidden/>
    <w:rsid w:val="006F32ED"/>
    <w:pPr>
      <w:ind w:leftChars="600" w:left="1260"/>
    </w:pPr>
  </w:style>
  <w:style w:type="paragraph" w:styleId="81">
    <w:name w:val="toc 8"/>
    <w:basedOn w:val="a"/>
    <w:next w:val="a"/>
    <w:autoRedefine/>
    <w:semiHidden/>
    <w:rsid w:val="006F32ED"/>
    <w:pPr>
      <w:ind w:leftChars="700" w:left="1470"/>
    </w:pPr>
  </w:style>
  <w:style w:type="paragraph" w:styleId="91">
    <w:name w:val="toc 9"/>
    <w:basedOn w:val="a"/>
    <w:next w:val="a"/>
    <w:autoRedefine/>
    <w:semiHidden/>
    <w:rsid w:val="006F32ED"/>
    <w:pPr>
      <w:ind w:leftChars="800" w:left="1680"/>
    </w:pPr>
  </w:style>
  <w:style w:type="paragraph" w:customStyle="1" w:styleId="14">
    <w:name w:val="引用箇所 1"/>
    <w:basedOn w:val="a0"/>
    <w:next w:val="24"/>
    <w:rsid w:val="006F32ED"/>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rsid w:val="006F32ED"/>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0"/>
    <w:rsid w:val="006F32ED"/>
    <w:pPr>
      <w:widowControl/>
      <w:ind w:leftChars="350" w:left="350"/>
    </w:pPr>
  </w:style>
  <w:style w:type="paragraph" w:customStyle="1" w:styleId="15">
    <w:name w:val="参考文献 1"/>
    <w:basedOn w:val="a0"/>
    <w:next w:val="25"/>
    <w:rsid w:val="006F32ED"/>
    <w:pPr>
      <w:keepNext/>
      <w:keepLines/>
      <w:widowControl/>
      <w:ind w:leftChars="250" w:left="250"/>
    </w:pPr>
    <w:rPr>
      <w:rFonts w:ascii="Arial" w:eastAsia="ＭＳ ゴシック" w:hAnsi="Arial"/>
    </w:rPr>
  </w:style>
  <w:style w:type="paragraph" w:styleId="ac">
    <w:name w:val="Balloon Text"/>
    <w:basedOn w:val="a"/>
    <w:link w:val="ad"/>
    <w:uiPriority w:val="99"/>
    <w:semiHidden/>
    <w:unhideWhenUsed/>
    <w:rsid w:val="006F32E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6F32ED"/>
    <w:rPr>
      <w:rFonts w:asciiTheme="majorHAnsi" w:eastAsiaTheme="majorEastAsia" w:hAnsiTheme="majorHAnsi" w:cstheme="majorBidi"/>
      <w:kern w:val="2"/>
      <w:sz w:val="18"/>
      <w:szCs w:val="18"/>
    </w:rPr>
  </w:style>
  <w:style w:type="character" w:customStyle="1" w:styleId="a5">
    <w:name w:val="フッター (文字)"/>
    <w:basedOn w:val="a1"/>
    <w:link w:val="a4"/>
    <w:uiPriority w:val="99"/>
    <w:rsid w:val="006F32ED"/>
    <w:rPr>
      <w:kern w:val="2"/>
      <w:sz w:val="21"/>
      <w:szCs w:val="24"/>
    </w:rPr>
  </w:style>
  <w:style w:type="paragraph" w:customStyle="1" w:styleId="ae">
    <w:name w:val="図表の番号"/>
    <w:basedOn w:val="a"/>
    <w:semiHidden/>
    <w:rsid w:val="00656476"/>
    <w:pPr>
      <w:spacing w:after="60"/>
      <w:jc w:val="center"/>
    </w:pPr>
    <w:rPr>
      <w:rFonts w:ascii="Arial" w:eastAsia="ＭＳ Ｐゴシック" w:hAnsi="Arial"/>
      <w:szCs w:val="21"/>
    </w:rPr>
  </w:style>
  <w:style w:type="table" w:styleId="af">
    <w:name w:val="Table Grid"/>
    <w:basedOn w:val="a2"/>
    <w:uiPriority w:val="59"/>
    <w:rsid w:val="00F67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1"/>
    <w:link w:val="a7"/>
    <w:uiPriority w:val="99"/>
    <w:rsid w:val="0089065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ED"/>
    <w:pPr>
      <w:widowControl w:val="0"/>
      <w:jc w:val="both"/>
    </w:pPr>
    <w:rPr>
      <w:kern w:val="2"/>
      <w:sz w:val="21"/>
      <w:szCs w:val="24"/>
    </w:rPr>
  </w:style>
  <w:style w:type="paragraph" w:styleId="1">
    <w:name w:val="heading 1"/>
    <w:basedOn w:val="a0"/>
    <w:next w:val="10"/>
    <w:qFormat/>
    <w:rsid w:val="006F32ED"/>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qFormat/>
    <w:rsid w:val="006F32ED"/>
    <w:pPr>
      <w:keepNext/>
      <w:keepLines/>
      <w:widowControl/>
      <w:numPr>
        <w:ilvl w:val="1"/>
        <w:numId w:val="1"/>
      </w:numPr>
      <w:outlineLvl w:val="1"/>
    </w:pPr>
    <w:rPr>
      <w:rFonts w:ascii="Arial" w:eastAsia="ＭＳ ゴシック" w:hAnsi="Arial"/>
      <w:sz w:val="24"/>
    </w:rPr>
  </w:style>
  <w:style w:type="paragraph" w:styleId="3">
    <w:name w:val="heading 3"/>
    <w:basedOn w:val="a0"/>
    <w:next w:val="30"/>
    <w:qFormat/>
    <w:rsid w:val="006F32ED"/>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rsid w:val="006F32ED"/>
    <w:pPr>
      <w:keepNext/>
      <w:keepLines/>
      <w:widowControl/>
      <w:numPr>
        <w:ilvl w:val="3"/>
        <w:numId w:val="1"/>
      </w:numPr>
      <w:outlineLvl w:val="3"/>
    </w:pPr>
    <w:rPr>
      <w:rFonts w:ascii="Arial" w:eastAsia="ＭＳ ゴシック" w:hAnsi="Arial"/>
      <w:bCs/>
    </w:rPr>
  </w:style>
  <w:style w:type="paragraph" w:styleId="5">
    <w:name w:val="heading 5"/>
    <w:basedOn w:val="a0"/>
    <w:next w:val="50"/>
    <w:qFormat/>
    <w:rsid w:val="006F32ED"/>
    <w:pPr>
      <w:keepNext/>
      <w:keepLines/>
      <w:widowControl/>
      <w:numPr>
        <w:ilvl w:val="4"/>
        <w:numId w:val="1"/>
      </w:numPr>
      <w:outlineLvl w:val="4"/>
    </w:pPr>
    <w:rPr>
      <w:rFonts w:ascii="Arial" w:eastAsia="ＭＳ ゴシック" w:hAnsi="Arial"/>
    </w:rPr>
  </w:style>
  <w:style w:type="paragraph" w:styleId="6">
    <w:name w:val="heading 6"/>
    <w:basedOn w:val="a0"/>
    <w:next w:val="60"/>
    <w:qFormat/>
    <w:rsid w:val="006F32ED"/>
    <w:pPr>
      <w:keepNext/>
      <w:keepLines/>
      <w:widowControl/>
      <w:numPr>
        <w:ilvl w:val="5"/>
        <w:numId w:val="1"/>
      </w:numPr>
      <w:outlineLvl w:val="5"/>
    </w:pPr>
    <w:rPr>
      <w:rFonts w:ascii="Arial" w:eastAsia="ＭＳ ゴシック" w:hAnsi="Arial"/>
      <w:bCs/>
    </w:rPr>
  </w:style>
  <w:style w:type="paragraph" w:styleId="7">
    <w:name w:val="heading 7"/>
    <w:basedOn w:val="a0"/>
    <w:next w:val="70"/>
    <w:qFormat/>
    <w:rsid w:val="006F32ED"/>
    <w:pPr>
      <w:keepNext/>
      <w:keepLines/>
      <w:widowControl/>
      <w:numPr>
        <w:ilvl w:val="6"/>
        <w:numId w:val="1"/>
      </w:numPr>
      <w:outlineLvl w:val="6"/>
    </w:pPr>
    <w:rPr>
      <w:rFonts w:ascii="Arial" w:eastAsia="ＭＳ ゴシック" w:hAnsi="Arial"/>
    </w:rPr>
  </w:style>
  <w:style w:type="paragraph" w:styleId="8">
    <w:name w:val="heading 8"/>
    <w:basedOn w:val="a0"/>
    <w:next w:val="80"/>
    <w:qFormat/>
    <w:rsid w:val="006F32ED"/>
    <w:pPr>
      <w:keepNext/>
      <w:keepLines/>
      <w:widowControl/>
      <w:numPr>
        <w:ilvl w:val="7"/>
        <w:numId w:val="1"/>
      </w:numPr>
      <w:outlineLvl w:val="7"/>
    </w:pPr>
    <w:rPr>
      <w:rFonts w:ascii="Arial" w:eastAsia="ＭＳ ゴシック" w:hAnsi="Arial"/>
    </w:rPr>
  </w:style>
  <w:style w:type="paragraph" w:styleId="9">
    <w:name w:val="heading 9"/>
    <w:basedOn w:val="a0"/>
    <w:next w:val="90"/>
    <w:qFormat/>
    <w:rsid w:val="006F32ED"/>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rsid w:val="006F32ED"/>
  </w:style>
  <w:style w:type="paragraph" w:customStyle="1" w:styleId="10">
    <w:name w:val="本文 1"/>
    <w:basedOn w:val="a0"/>
    <w:rsid w:val="006F32ED"/>
    <w:pPr>
      <w:widowControl/>
      <w:ind w:firstLineChars="100" w:firstLine="100"/>
    </w:pPr>
  </w:style>
  <w:style w:type="paragraph" w:styleId="20">
    <w:name w:val="Body Text 2"/>
    <w:basedOn w:val="a0"/>
    <w:semiHidden/>
    <w:rsid w:val="006F32ED"/>
    <w:pPr>
      <w:widowControl/>
      <w:ind w:leftChars="50" w:left="50" w:firstLineChars="100" w:firstLine="100"/>
    </w:pPr>
  </w:style>
  <w:style w:type="paragraph" w:styleId="30">
    <w:name w:val="Body Text 3"/>
    <w:basedOn w:val="a0"/>
    <w:semiHidden/>
    <w:rsid w:val="006F32ED"/>
    <w:pPr>
      <w:widowControl/>
      <w:ind w:leftChars="50" w:left="50" w:firstLineChars="100" w:firstLine="100"/>
    </w:pPr>
    <w:rPr>
      <w:szCs w:val="16"/>
    </w:rPr>
  </w:style>
  <w:style w:type="paragraph" w:customStyle="1" w:styleId="40">
    <w:name w:val="本文 4"/>
    <w:basedOn w:val="a0"/>
    <w:rsid w:val="006F32ED"/>
    <w:pPr>
      <w:widowControl/>
      <w:ind w:leftChars="200" w:left="200" w:firstLineChars="100" w:firstLine="100"/>
    </w:pPr>
  </w:style>
  <w:style w:type="paragraph" w:customStyle="1" w:styleId="50">
    <w:name w:val="本文 5"/>
    <w:basedOn w:val="a0"/>
    <w:rsid w:val="006F32ED"/>
    <w:pPr>
      <w:widowControl/>
      <w:ind w:leftChars="350" w:left="350" w:firstLineChars="100" w:firstLine="100"/>
    </w:pPr>
  </w:style>
  <w:style w:type="paragraph" w:customStyle="1" w:styleId="60">
    <w:name w:val="本文 6"/>
    <w:basedOn w:val="a0"/>
    <w:rsid w:val="006F32ED"/>
    <w:pPr>
      <w:widowControl/>
      <w:ind w:leftChars="350" w:left="350" w:firstLineChars="100" w:firstLine="100"/>
    </w:pPr>
  </w:style>
  <w:style w:type="paragraph" w:customStyle="1" w:styleId="70">
    <w:name w:val="本文 7"/>
    <w:basedOn w:val="a0"/>
    <w:rsid w:val="006F32ED"/>
    <w:pPr>
      <w:widowControl/>
      <w:ind w:leftChars="400" w:left="400" w:firstLineChars="100" w:firstLine="100"/>
    </w:pPr>
  </w:style>
  <w:style w:type="paragraph" w:customStyle="1" w:styleId="80">
    <w:name w:val="本文 8"/>
    <w:basedOn w:val="a0"/>
    <w:rsid w:val="006F32ED"/>
    <w:pPr>
      <w:widowControl/>
      <w:ind w:leftChars="450" w:left="450" w:firstLineChars="100" w:firstLine="100"/>
    </w:pPr>
  </w:style>
  <w:style w:type="paragraph" w:customStyle="1" w:styleId="90">
    <w:name w:val="本文 9"/>
    <w:basedOn w:val="a"/>
    <w:rsid w:val="006F32ED"/>
    <w:pPr>
      <w:widowControl/>
      <w:ind w:leftChars="500" w:left="500" w:firstLineChars="100" w:firstLine="100"/>
    </w:pPr>
  </w:style>
  <w:style w:type="paragraph" w:styleId="a4">
    <w:name w:val="footer"/>
    <w:basedOn w:val="a"/>
    <w:link w:val="a5"/>
    <w:uiPriority w:val="99"/>
    <w:rsid w:val="006F32ED"/>
    <w:pPr>
      <w:tabs>
        <w:tab w:val="center" w:pos="4252"/>
        <w:tab w:val="right" w:pos="8504"/>
      </w:tabs>
      <w:snapToGrid w:val="0"/>
      <w:jc w:val="right"/>
    </w:pPr>
  </w:style>
  <w:style w:type="character" w:styleId="a6">
    <w:name w:val="page number"/>
    <w:basedOn w:val="a1"/>
    <w:semiHidden/>
    <w:rsid w:val="006F32ED"/>
  </w:style>
  <w:style w:type="paragraph" w:styleId="a7">
    <w:name w:val="header"/>
    <w:basedOn w:val="a"/>
    <w:link w:val="a8"/>
    <w:uiPriority w:val="99"/>
    <w:rsid w:val="006F32ED"/>
    <w:pPr>
      <w:tabs>
        <w:tab w:val="center" w:pos="4252"/>
        <w:tab w:val="right" w:pos="8504"/>
      </w:tabs>
      <w:snapToGrid w:val="0"/>
    </w:pPr>
  </w:style>
  <w:style w:type="paragraph" w:styleId="a9">
    <w:name w:val="caption"/>
    <w:basedOn w:val="a0"/>
    <w:next w:val="a"/>
    <w:qFormat/>
    <w:rsid w:val="006F32ED"/>
    <w:pPr>
      <w:keepLines/>
      <w:spacing w:beforeLines="50" w:before="50" w:afterLines="50" w:after="50"/>
      <w:jc w:val="center"/>
    </w:pPr>
    <w:rPr>
      <w:rFonts w:ascii="Arial" w:eastAsia="ＭＳ ゴシック" w:hAnsi="Arial"/>
      <w:bCs/>
      <w:szCs w:val="20"/>
    </w:rPr>
  </w:style>
  <w:style w:type="paragraph" w:customStyle="1" w:styleId="21">
    <w:name w:val="タイトル 2"/>
    <w:basedOn w:val="a0"/>
    <w:next w:val="a"/>
    <w:rsid w:val="006F32ED"/>
    <w:pPr>
      <w:jc w:val="center"/>
    </w:pPr>
    <w:rPr>
      <w:rFonts w:ascii="Arial" w:eastAsia="ＭＳ ゴシック" w:hAnsi="Arial"/>
      <w:sz w:val="44"/>
    </w:rPr>
  </w:style>
  <w:style w:type="paragraph" w:customStyle="1" w:styleId="11">
    <w:name w:val="タイトル 1"/>
    <w:basedOn w:val="a0"/>
    <w:next w:val="a"/>
    <w:rsid w:val="006F32ED"/>
    <w:pPr>
      <w:jc w:val="center"/>
    </w:pPr>
    <w:rPr>
      <w:rFonts w:ascii="Arial" w:eastAsia="ＭＳ ゴシック" w:hAnsi="Arial"/>
      <w:sz w:val="48"/>
    </w:rPr>
  </w:style>
  <w:style w:type="paragraph" w:customStyle="1" w:styleId="31">
    <w:name w:val="タイトル 3"/>
    <w:basedOn w:val="a0"/>
    <w:next w:val="a"/>
    <w:rsid w:val="006F32ED"/>
    <w:pPr>
      <w:jc w:val="center"/>
    </w:pPr>
    <w:rPr>
      <w:rFonts w:ascii="Arial" w:eastAsia="ＭＳ ゴシック" w:hAnsi="Arial"/>
      <w:sz w:val="40"/>
    </w:rPr>
  </w:style>
  <w:style w:type="paragraph" w:customStyle="1" w:styleId="41">
    <w:name w:val="タイトル 4"/>
    <w:basedOn w:val="a0"/>
    <w:next w:val="a"/>
    <w:rsid w:val="006F32ED"/>
    <w:pPr>
      <w:jc w:val="center"/>
    </w:pPr>
    <w:rPr>
      <w:rFonts w:ascii="Arial" w:eastAsia="ＭＳ ゴシック" w:hAnsi="Arial"/>
      <w:sz w:val="24"/>
    </w:rPr>
  </w:style>
  <w:style w:type="paragraph" w:customStyle="1" w:styleId="aa">
    <w:name w:val="サマリー"/>
    <w:basedOn w:val="a"/>
    <w:rsid w:val="006F32ED"/>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rsid w:val="006F32ED"/>
    <w:pPr>
      <w:widowControl/>
      <w:ind w:leftChars="100" w:left="700" w:hangingChars="600" w:hanging="600"/>
    </w:pPr>
    <w:rPr>
      <w:sz w:val="24"/>
    </w:rPr>
  </w:style>
  <w:style w:type="paragraph" w:customStyle="1" w:styleId="22">
    <w:name w:val="はじめに 2"/>
    <w:basedOn w:val="a0"/>
    <w:next w:val="42"/>
    <w:rsid w:val="006F32ED"/>
    <w:pPr>
      <w:keepNext/>
      <w:keepLines/>
      <w:widowControl/>
    </w:pPr>
    <w:rPr>
      <w:rFonts w:ascii="Arial" w:eastAsia="ＭＳ ゴシック" w:hAnsi="Arial"/>
      <w:sz w:val="24"/>
    </w:rPr>
  </w:style>
  <w:style w:type="paragraph" w:customStyle="1" w:styleId="32">
    <w:name w:val="はじめに 3"/>
    <w:basedOn w:val="a0"/>
    <w:rsid w:val="006F32ED"/>
    <w:pPr>
      <w:widowControl/>
      <w:ind w:firstLineChars="100" w:firstLine="100"/>
    </w:pPr>
    <w:rPr>
      <w:sz w:val="24"/>
    </w:rPr>
  </w:style>
  <w:style w:type="paragraph" w:customStyle="1" w:styleId="12">
    <w:name w:val="はじめに 1"/>
    <w:basedOn w:val="a0"/>
    <w:next w:val="32"/>
    <w:rsid w:val="006F32ED"/>
    <w:pPr>
      <w:keepNext/>
      <w:keepLines/>
      <w:widowControl/>
      <w:snapToGrid w:val="0"/>
    </w:pPr>
    <w:rPr>
      <w:rFonts w:ascii="Arial" w:eastAsia="ＭＳ ゴシック" w:hAnsi="Arial"/>
      <w:sz w:val="28"/>
    </w:rPr>
  </w:style>
  <w:style w:type="paragraph" w:styleId="13">
    <w:name w:val="toc 1"/>
    <w:basedOn w:val="a"/>
    <w:next w:val="a"/>
    <w:autoRedefine/>
    <w:semiHidden/>
    <w:rsid w:val="006F32ED"/>
    <w:pPr>
      <w:spacing w:beforeLines="100" w:before="100"/>
    </w:pPr>
    <w:rPr>
      <w:rFonts w:ascii="Arial" w:eastAsia="ＭＳ ゴシック" w:hAnsi="Arial"/>
      <w:sz w:val="24"/>
    </w:rPr>
  </w:style>
  <w:style w:type="paragraph" w:styleId="23">
    <w:name w:val="toc 2"/>
    <w:basedOn w:val="a"/>
    <w:next w:val="a"/>
    <w:autoRedefine/>
    <w:semiHidden/>
    <w:rsid w:val="006F32ED"/>
    <w:pPr>
      <w:spacing w:beforeLines="50" w:before="180"/>
      <w:ind w:leftChars="100" w:left="210"/>
    </w:pPr>
    <w:rPr>
      <w:rFonts w:ascii="Arial" w:eastAsia="ＭＳ ゴシック" w:hAnsi="Arial"/>
    </w:rPr>
  </w:style>
  <w:style w:type="paragraph" w:styleId="33">
    <w:name w:val="toc 3"/>
    <w:basedOn w:val="a"/>
    <w:next w:val="a"/>
    <w:autoRedefine/>
    <w:semiHidden/>
    <w:rsid w:val="006F32ED"/>
    <w:pPr>
      <w:ind w:leftChars="200" w:left="200"/>
    </w:pPr>
  </w:style>
  <w:style w:type="character" w:styleId="ab">
    <w:name w:val="Hyperlink"/>
    <w:basedOn w:val="a1"/>
    <w:semiHidden/>
    <w:rsid w:val="006F32ED"/>
    <w:rPr>
      <w:color w:val="0000FF"/>
      <w:u w:val="single"/>
    </w:rPr>
  </w:style>
  <w:style w:type="paragraph" w:styleId="43">
    <w:name w:val="toc 4"/>
    <w:basedOn w:val="a"/>
    <w:next w:val="a"/>
    <w:autoRedefine/>
    <w:semiHidden/>
    <w:rsid w:val="006F32ED"/>
    <w:pPr>
      <w:ind w:leftChars="300" w:left="630"/>
    </w:pPr>
  </w:style>
  <w:style w:type="paragraph" w:styleId="51">
    <w:name w:val="toc 5"/>
    <w:basedOn w:val="a"/>
    <w:next w:val="a"/>
    <w:autoRedefine/>
    <w:semiHidden/>
    <w:rsid w:val="006F32ED"/>
    <w:pPr>
      <w:ind w:leftChars="400" w:left="840"/>
    </w:pPr>
  </w:style>
  <w:style w:type="paragraph" w:styleId="61">
    <w:name w:val="toc 6"/>
    <w:basedOn w:val="a"/>
    <w:next w:val="a"/>
    <w:autoRedefine/>
    <w:semiHidden/>
    <w:rsid w:val="006F32ED"/>
    <w:pPr>
      <w:ind w:leftChars="500" w:left="1050"/>
    </w:pPr>
  </w:style>
  <w:style w:type="paragraph" w:styleId="71">
    <w:name w:val="toc 7"/>
    <w:basedOn w:val="a"/>
    <w:next w:val="a"/>
    <w:autoRedefine/>
    <w:semiHidden/>
    <w:rsid w:val="006F32ED"/>
    <w:pPr>
      <w:ind w:leftChars="600" w:left="1260"/>
    </w:pPr>
  </w:style>
  <w:style w:type="paragraph" w:styleId="81">
    <w:name w:val="toc 8"/>
    <w:basedOn w:val="a"/>
    <w:next w:val="a"/>
    <w:autoRedefine/>
    <w:semiHidden/>
    <w:rsid w:val="006F32ED"/>
    <w:pPr>
      <w:ind w:leftChars="700" w:left="1470"/>
    </w:pPr>
  </w:style>
  <w:style w:type="paragraph" w:styleId="91">
    <w:name w:val="toc 9"/>
    <w:basedOn w:val="a"/>
    <w:next w:val="a"/>
    <w:autoRedefine/>
    <w:semiHidden/>
    <w:rsid w:val="006F32ED"/>
    <w:pPr>
      <w:ind w:leftChars="800" w:left="1680"/>
    </w:pPr>
  </w:style>
  <w:style w:type="paragraph" w:customStyle="1" w:styleId="14">
    <w:name w:val="引用箇所 1"/>
    <w:basedOn w:val="a0"/>
    <w:next w:val="24"/>
    <w:rsid w:val="006F32ED"/>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rsid w:val="006F32ED"/>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0"/>
    <w:rsid w:val="006F32ED"/>
    <w:pPr>
      <w:widowControl/>
      <w:ind w:leftChars="350" w:left="350"/>
    </w:pPr>
  </w:style>
  <w:style w:type="paragraph" w:customStyle="1" w:styleId="15">
    <w:name w:val="参考文献 1"/>
    <w:basedOn w:val="a0"/>
    <w:next w:val="25"/>
    <w:rsid w:val="006F32ED"/>
    <w:pPr>
      <w:keepNext/>
      <w:keepLines/>
      <w:widowControl/>
      <w:ind w:leftChars="250" w:left="250"/>
    </w:pPr>
    <w:rPr>
      <w:rFonts w:ascii="Arial" w:eastAsia="ＭＳ ゴシック" w:hAnsi="Arial"/>
    </w:rPr>
  </w:style>
  <w:style w:type="paragraph" w:styleId="ac">
    <w:name w:val="Balloon Text"/>
    <w:basedOn w:val="a"/>
    <w:link w:val="ad"/>
    <w:uiPriority w:val="99"/>
    <w:semiHidden/>
    <w:unhideWhenUsed/>
    <w:rsid w:val="006F32E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6F32ED"/>
    <w:rPr>
      <w:rFonts w:asciiTheme="majorHAnsi" w:eastAsiaTheme="majorEastAsia" w:hAnsiTheme="majorHAnsi" w:cstheme="majorBidi"/>
      <w:kern w:val="2"/>
      <w:sz w:val="18"/>
      <w:szCs w:val="18"/>
    </w:rPr>
  </w:style>
  <w:style w:type="character" w:customStyle="1" w:styleId="a5">
    <w:name w:val="フッター (文字)"/>
    <w:basedOn w:val="a1"/>
    <w:link w:val="a4"/>
    <w:uiPriority w:val="99"/>
    <w:rsid w:val="006F32ED"/>
    <w:rPr>
      <w:kern w:val="2"/>
      <w:sz w:val="21"/>
      <w:szCs w:val="24"/>
    </w:rPr>
  </w:style>
  <w:style w:type="paragraph" w:customStyle="1" w:styleId="ae">
    <w:name w:val="図表の番号"/>
    <w:basedOn w:val="a"/>
    <w:semiHidden/>
    <w:rsid w:val="00656476"/>
    <w:pPr>
      <w:spacing w:after="60"/>
      <w:jc w:val="center"/>
    </w:pPr>
    <w:rPr>
      <w:rFonts w:ascii="Arial" w:eastAsia="ＭＳ Ｐゴシック" w:hAnsi="Arial"/>
      <w:szCs w:val="21"/>
    </w:rPr>
  </w:style>
  <w:style w:type="table" w:styleId="af">
    <w:name w:val="Table Grid"/>
    <w:basedOn w:val="a2"/>
    <w:uiPriority w:val="59"/>
    <w:rsid w:val="00F67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1"/>
    <w:link w:val="a7"/>
    <w:uiPriority w:val="99"/>
    <w:rsid w:val="008906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00&#26032;&#35215;&#26045;&#31574;&#26908;&#35342;\&#9733;&#26032;&#22577;&#21578;&#26360;&#12486;&#12531;&#12503;&#12524;&#12540;&#12488;&#38283;&#30330;\2010&#29256;&#20316;&#25104;&#20316;&#26989;\2010&#29256;&#22577;&#21578;&#26360;temp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6FD04-06A9-45D7-88C1-CB9E41E2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2010版報告書temp1.dotx</Template>
  <TotalTime>82</TotalTime>
  <Pages>5</Pages>
  <Words>4031</Words>
  <Characters>287</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4310</CharactersWithSpaces>
  <SharedDoc>false</SharedDoc>
  <HLinks>
    <vt:vector size="6" baseType="variant">
      <vt:variant>
        <vt:i4>21</vt:i4>
      </vt:variant>
      <vt:variant>
        <vt:i4>-1</vt:i4>
      </vt:variant>
      <vt:variant>
        <vt:i4>2050</vt:i4>
      </vt:variant>
      <vt:variant>
        <vt:i4>1</vt:i4>
      </vt:variant>
      <vt:variant>
        <vt:lpwstr>rogoJ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Kodama</dc:creator>
  <cp:lastModifiedBy>大井　祥之</cp:lastModifiedBy>
  <cp:revision>7</cp:revision>
  <cp:lastPrinted>2015-01-26T12:18:00Z</cp:lastPrinted>
  <dcterms:created xsi:type="dcterms:W3CDTF">2015-01-26T08:04:00Z</dcterms:created>
  <dcterms:modified xsi:type="dcterms:W3CDTF">2015-01-26T13:03:00Z</dcterms:modified>
</cp:coreProperties>
</file>