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12377" w14:textId="77777777" w:rsidR="00CA2058" w:rsidRPr="000516AA" w:rsidRDefault="00CA2058" w:rsidP="00CA2058">
      <w:pPr>
        <w:spacing w:line="240" w:lineRule="auto"/>
        <w:rPr>
          <w:sz w:val="18"/>
          <w:szCs w:val="28"/>
        </w:rPr>
      </w:pPr>
      <w:r w:rsidRPr="000516AA">
        <w:rPr>
          <w:rFonts w:hint="eastAsia"/>
          <w:sz w:val="18"/>
          <w:szCs w:val="28"/>
        </w:rPr>
        <w:t>★</w:t>
      </w:r>
      <w:r w:rsidRPr="000516AA">
        <w:rPr>
          <w:sz w:val="18"/>
          <w:szCs w:val="28"/>
        </w:rPr>
        <w:t>p20</w:t>
      </w:r>
    </w:p>
    <w:p w14:paraId="2AEA6EEA" w14:textId="77777777" w:rsidR="00CA2058" w:rsidRPr="000516AA" w:rsidRDefault="00CA2058" w:rsidP="00CA2058">
      <w:pPr>
        <w:spacing w:line="240" w:lineRule="auto"/>
        <w:rPr>
          <w:sz w:val="18"/>
          <w:szCs w:val="28"/>
        </w:rPr>
      </w:pPr>
      <w:r w:rsidRPr="000516AA">
        <w:rPr>
          <w:rFonts w:hint="eastAsia"/>
          <w:sz w:val="18"/>
          <w:szCs w:val="28"/>
        </w:rPr>
        <w:t>身近な人権のこと</w:t>
      </w:r>
    </w:p>
    <w:p w14:paraId="7EADC2F2" w14:textId="77777777" w:rsidR="00CA2058" w:rsidRPr="000516AA" w:rsidRDefault="00CA2058" w:rsidP="00CA2058">
      <w:pPr>
        <w:spacing w:line="240" w:lineRule="auto"/>
        <w:rPr>
          <w:sz w:val="18"/>
          <w:szCs w:val="28"/>
        </w:rPr>
      </w:pPr>
      <w:r w:rsidRPr="000516AA">
        <w:rPr>
          <w:rFonts w:hint="eastAsia"/>
          <w:sz w:val="18"/>
          <w:szCs w:val="28"/>
        </w:rPr>
        <w:t>高齢者は「人生の先輩」です。</w:t>
      </w:r>
    </w:p>
    <w:p w14:paraId="6B1CCA1A" w14:textId="77777777" w:rsidR="00CA2058" w:rsidRPr="000516AA" w:rsidRDefault="00CA2058" w:rsidP="00CA2058">
      <w:pPr>
        <w:spacing w:line="240" w:lineRule="auto"/>
        <w:rPr>
          <w:sz w:val="18"/>
          <w:szCs w:val="28"/>
        </w:rPr>
      </w:pPr>
      <w:r w:rsidRPr="000516AA">
        <w:rPr>
          <w:rFonts w:hint="eastAsia"/>
          <w:sz w:val="18"/>
          <w:szCs w:val="28"/>
        </w:rPr>
        <w:t>高齢者の人権のこと</w:t>
      </w:r>
    </w:p>
    <w:p w14:paraId="4A8241F4" w14:textId="77777777" w:rsidR="00CA2058" w:rsidRPr="000516AA" w:rsidRDefault="00CA2058" w:rsidP="00CA2058">
      <w:pPr>
        <w:spacing w:line="240" w:lineRule="auto"/>
        <w:rPr>
          <w:sz w:val="18"/>
          <w:szCs w:val="28"/>
        </w:rPr>
      </w:pPr>
      <w:r w:rsidRPr="000516AA">
        <w:rPr>
          <w:rFonts w:hint="eastAsia"/>
          <w:sz w:val="18"/>
          <w:szCs w:val="28"/>
        </w:rPr>
        <w:t>高齢者の社会参加</w:t>
      </w:r>
    </w:p>
    <w:p w14:paraId="022906E2" w14:textId="77777777" w:rsidR="00CA2058" w:rsidRPr="000516AA" w:rsidRDefault="00CA2058" w:rsidP="00CA2058">
      <w:pPr>
        <w:spacing w:line="240" w:lineRule="auto"/>
        <w:rPr>
          <w:sz w:val="18"/>
          <w:szCs w:val="28"/>
        </w:rPr>
      </w:pPr>
      <w:r w:rsidRPr="000516AA">
        <w:rPr>
          <w:rFonts w:hint="eastAsia"/>
          <w:sz w:val="18"/>
          <w:szCs w:val="28"/>
        </w:rPr>
        <w:t xml:space="preserve">　年齢を重ねるにしたがって体力が低下することは避けることはできませんが、個人差もあり、高齢期になっても意欲的に社会参加している人はたくさんいます。年齢だけを理由に社会参加する機会を奪うことがあってはなりません。</w:t>
      </w:r>
    </w:p>
    <w:p w14:paraId="7AF9CC63" w14:textId="77777777" w:rsidR="00CA2058" w:rsidRPr="000516AA" w:rsidRDefault="00CA2058" w:rsidP="00CA2058">
      <w:pPr>
        <w:spacing w:line="240" w:lineRule="auto"/>
        <w:rPr>
          <w:sz w:val="18"/>
          <w:szCs w:val="28"/>
        </w:rPr>
      </w:pPr>
      <w:r w:rsidRPr="000516AA">
        <w:rPr>
          <w:rFonts w:hint="eastAsia"/>
          <w:sz w:val="18"/>
          <w:szCs w:val="28"/>
        </w:rPr>
        <w:t xml:space="preserve">　大阪府は、総人口の</w:t>
      </w:r>
      <w:r w:rsidRPr="000516AA">
        <w:rPr>
          <w:sz w:val="18"/>
          <w:szCs w:val="28"/>
        </w:rPr>
        <w:t>27.6％が65歳以上（2020年時点　国勢調査）で、超高齢社会です。</w:t>
      </w:r>
    </w:p>
    <w:p w14:paraId="5C22EC53" w14:textId="77777777" w:rsidR="00CA2058" w:rsidRPr="000516AA" w:rsidRDefault="00CA2058" w:rsidP="00CA2058">
      <w:pPr>
        <w:spacing w:line="240" w:lineRule="auto"/>
        <w:rPr>
          <w:sz w:val="18"/>
          <w:szCs w:val="28"/>
        </w:rPr>
      </w:pPr>
      <w:r w:rsidRPr="000516AA">
        <w:rPr>
          <w:rFonts w:hint="eastAsia"/>
          <w:sz w:val="18"/>
          <w:szCs w:val="28"/>
        </w:rPr>
        <w:t xml:space="preserve">　また、超高齢社会が進むのに伴い、認知症の高齢者がさらに増加することが見込まれています。平成</w:t>
      </w:r>
      <w:r w:rsidRPr="000516AA">
        <w:rPr>
          <w:sz w:val="18"/>
          <w:szCs w:val="28"/>
        </w:rPr>
        <w:t>29年版高齢社会白書によると、平成24（2012）年は認知症高齢者数が462万人と、65歳以上の高齢者の約７人に１人（有病率15.0％）でしたが、令和７（2025）年には約５人に１人になるとの推計もあります。</w:t>
      </w:r>
    </w:p>
    <w:p w14:paraId="42D10E62" w14:textId="77777777" w:rsidR="00CA2058" w:rsidRPr="000516AA" w:rsidRDefault="00CA2058" w:rsidP="00CA2058">
      <w:pPr>
        <w:spacing w:line="240" w:lineRule="auto"/>
        <w:rPr>
          <w:sz w:val="18"/>
          <w:szCs w:val="28"/>
        </w:rPr>
      </w:pPr>
      <w:r w:rsidRPr="000516AA">
        <w:rPr>
          <w:rFonts w:hint="eastAsia"/>
          <w:sz w:val="18"/>
          <w:szCs w:val="28"/>
        </w:rPr>
        <w:t xml:space="preserve">　高齢者が、社会の重要な一員として尊重され、就業をはじめ多様な社会活動に参加する機会が確保される社会を形成することが必要です。</w:t>
      </w:r>
    </w:p>
    <w:p w14:paraId="6921A475" w14:textId="77777777" w:rsidR="00CA2058" w:rsidRPr="000516AA" w:rsidRDefault="00CA2058" w:rsidP="00CA2058">
      <w:pPr>
        <w:spacing w:line="240" w:lineRule="auto"/>
        <w:rPr>
          <w:sz w:val="18"/>
          <w:szCs w:val="28"/>
        </w:rPr>
      </w:pPr>
      <w:r w:rsidRPr="000516AA">
        <w:rPr>
          <w:rFonts w:hint="eastAsia"/>
          <w:sz w:val="18"/>
          <w:szCs w:val="28"/>
        </w:rPr>
        <w:t xml:space="preserve">　また、高齢者に対するあらゆる形態の虐待をなくさなければなりません。すべての人が年齢を重ねるごとに充実感を感じ、健康かつ安全な生活を送ることができる、持続可能で適切な支援を提供する必要があります。</w:t>
      </w:r>
    </w:p>
    <w:p w14:paraId="4AAF1B0F" w14:textId="77777777" w:rsidR="00CA2058" w:rsidRPr="000516AA" w:rsidRDefault="00CA2058" w:rsidP="00CA2058">
      <w:pPr>
        <w:spacing w:line="240" w:lineRule="auto"/>
        <w:rPr>
          <w:sz w:val="18"/>
          <w:szCs w:val="28"/>
        </w:rPr>
      </w:pPr>
      <w:r w:rsidRPr="000516AA">
        <w:rPr>
          <w:rFonts w:hint="eastAsia"/>
          <w:sz w:val="18"/>
          <w:szCs w:val="28"/>
        </w:rPr>
        <w:t xml:space="preserve">　このような取組を通じて、活力ある高齢社会を築くことが必要です。</w:t>
      </w:r>
    </w:p>
    <w:p w14:paraId="3AADE046" w14:textId="77777777" w:rsidR="00CA2058" w:rsidRPr="000516AA" w:rsidRDefault="00CA2058" w:rsidP="00CA2058">
      <w:pPr>
        <w:spacing w:line="240" w:lineRule="auto"/>
        <w:rPr>
          <w:sz w:val="18"/>
          <w:szCs w:val="28"/>
        </w:rPr>
      </w:pPr>
    </w:p>
    <w:p w14:paraId="3B819E65" w14:textId="77777777" w:rsidR="00CA2058" w:rsidRPr="000516AA" w:rsidRDefault="00CA2058" w:rsidP="00CA2058">
      <w:pPr>
        <w:spacing w:line="240" w:lineRule="auto"/>
        <w:rPr>
          <w:sz w:val="18"/>
          <w:szCs w:val="28"/>
        </w:rPr>
      </w:pPr>
      <w:r w:rsidRPr="000516AA">
        <w:rPr>
          <w:rFonts w:hint="eastAsia"/>
          <w:sz w:val="18"/>
          <w:szCs w:val="28"/>
        </w:rPr>
        <w:t>すべての世代のための社会の創造</w:t>
      </w:r>
    </w:p>
    <w:p w14:paraId="76A64EAC" w14:textId="77777777" w:rsidR="00CA2058" w:rsidRPr="000516AA" w:rsidRDefault="00CA2058" w:rsidP="00CA2058">
      <w:pPr>
        <w:spacing w:line="240" w:lineRule="auto"/>
        <w:rPr>
          <w:sz w:val="18"/>
          <w:szCs w:val="28"/>
        </w:rPr>
      </w:pPr>
      <w:r w:rsidRPr="000516AA">
        <w:rPr>
          <w:rFonts w:hint="eastAsia"/>
          <w:sz w:val="18"/>
          <w:szCs w:val="28"/>
        </w:rPr>
        <w:t xml:space="preserve">　国連は、昭和</w:t>
      </w:r>
      <w:r w:rsidRPr="000516AA">
        <w:rPr>
          <w:sz w:val="18"/>
          <w:szCs w:val="28"/>
        </w:rPr>
        <w:t>57（1982）年に各国の指針である「高齢者問題国際行動計画」を採択し「雇用と所得の保障、健康と栄養、住宅、教育、社会福祉」の領域でとるべき行動を勧告しました。平成14（2002）年には、「高齢化に関するマドリッド国際行動計画」を採択し、高齢化の課題に対処し「すべての世代のための社会」の創造を推進することを宣言（※）しました。</w:t>
      </w:r>
    </w:p>
    <w:p w14:paraId="65250F59" w14:textId="77777777" w:rsidR="00CA2058" w:rsidRPr="000516AA" w:rsidRDefault="00CA2058" w:rsidP="00CA2058">
      <w:pPr>
        <w:spacing w:line="240" w:lineRule="auto"/>
        <w:rPr>
          <w:sz w:val="18"/>
          <w:szCs w:val="28"/>
        </w:rPr>
      </w:pPr>
      <w:r w:rsidRPr="000516AA">
        <w:rPr>
          <w:rFonts w:hint="eastAsia"/>
          <w:sz w:val="18"/>
          <w:szCs w:val="28"/>
        </w:rPr>
        <w:t>※平成３（</w:t>
      </w:r>
      <w:r w:rsidRPr="000516AA">
        <w:rPr>
          <w:sz w:val="18"/>
          <w:szCs w:val="28"/>
        </w:rPr>
        <w:t>1991）年に「自立・参加・ケア・自己実現・尊厳」の５項目を示した「高齢者のための国連原則」は、この宣言に引き継がれました。</w:t>
      </w:r>
    </w:p>
    <w:p w14:paraId="59CAB4B4" w14:textId="77777777" w:rsidR="00CA2058" w:rsidRPr="000516AA" w:rsidRDefault="00CA2058" w:rsidP="00CA2058">
      <w:pPr>
        <w:spacing w:line="240" w:lineRule="auto"/>
        <w:rPr>
          <w:sz w:val="18"/>
          <w:szCs w:val="28"/>
        </w:rPr>
      </w:pPr>
    </w:p>
    <w:p w14:paraId="50834265" w14:textId="77777777" w:rsidR="00CA2058" w:rsidRPr="000516AA" w:rsidRDefault="00CA2058" w:rsidP="00CA2058">
      <w:pPr>
        <w:spacing w:line="240" w:lineRule="auto"/>
        <w:rPr>
          <w:sz w:val="18"/>
          <w:szCs w:val="28"/>
        </w:rPr>
      </w:pPr>
      <w:r w:rsidRPr="000516AA">
        <w:rPr>
          <w:rFonts w:hint="eastAsia"/>
          <w:sz w:val="18"/>
          <w:szCs w:val="28"/>
        </w:rPr>
        <w:t>高齢社会対策基本法など</w:t>
      </w:r>
    </w:p>
    <w:p w14:paraId="5696F0D6" w14:textId="77777777" w:rsidR="00CA2058" w:rsidRPr="000516AA" w:rsidRDefault="00CA2058" w:rsidP="00CA2058">
      <w:pPr>
        <w:spacing w:line="240" w:lineRule="auto"/>
        <w:rPr>
          <w:sz w:val="18"/>
          <w:szCs w:val="28"/>
        </w:rPr>
      </w:pPr>
      <w:r w:rsidRPr="000516AA">
        <w:rPr>
          <w:rFonts w:hint="eastAsia"/>
          <w:sz w:val="18"/>
          <w:szCs w:val="28"/>
        </w:rPr>
        <w:t xml:space="preserve">　日本では、平成７（</w:t>
      </w:r>
      <w:r w:rsidRPr="000516AA">
        <w:rPr>
          <w:sz w:val="18"/>
          <w:szCs w:val="28"/>
        </w:rPr>
        <w:t>1995）年に「高齢社会対策基本法」が施行されました。この法律では、高齢者がさ</w:t>
      </w:r>
      <w:r w:rsidRPr="000516AA">
        <w:rPr>
          <w:sz w:val="18"/>
          <w:szCs w:val="28"/>
        </w:rPr>
        <w:lastRenderedPageBreak/>
        <w:t>まざまな社会活動に参加する機会を確保するとともに、社会を構成する重要な一員として尊重され、健やかで充実した生活を営むことができる社会の構築が必要であると示されています。</w:t>
      </w:r>
    </w:p>
    <w:p w14:paraId="77A21AE7" w14:textId="77777777" w:rsidR="00CA2058" w:rsidRPr="000516AA" w:rsidRDefault="00CA2058" w:rsidP="00CA2058">
      <w:pPr>
        <w:spacing w:line="240" w:lineRule="auto"/>
        <w:rPr>
          <w:sz w:val="18"/>
          <w:szCs w:val="28"/>
        </w:rPr>
      </w:pPr>
      <w:r w:rsidRPr="000516AA">
        <w:rPr>
          <w:rFonts w:hint="eastAsia"/>
          <w:sz w:val="18"/>
          <w:szCs w:val="28"/>
        </w:rPr>
        <w:t xml:space="preserve">　この法律は、政府が推進すべき基本的かつ総合的な指針として「高齢社会対策大綱」の策定を義務付けており、これまで、平成８（</w:t>
      </w:r>
      <w:r w:rsidRPr="000516AA">
        <w:rPr>
          <w:sz w:val="18"/>
          <w:szCs w:val="28"/>
        </w:rPr>
        <w:t>1996）年７月に最初の大綱が策定</w:t>
      </w:r>
    </w:p>
    <w:p w14:paraId="20EF15F8" w14:textId="77777777" w:rsidR="00CA2058" w:rsidRPr="000516AA" w:rsidRDefault="00CA2058" w:rsidP="00CA2058">
      <w:pPr>
        <w:spacing w:line="240" w:lineRule="auto"/>
        <w:rPr>
          <w:sz w:val="18"/>
          <w:szCs w:val="28"/>
        </w:rPr>
      </w:pPr>
      <w:r w:rsidRPr="000516AA">
        <w:rPr>
          <w:rFonts w:hint="eastAsia"/>
          <w:sz w:val="18"/>
          <w:szCs w:val="28"/>
        </w:rPr>
        <w:t>されて以降、平成</w:t>
      </w:r>
      <w:r w:rsidRPr="000516AA">
        <w:rPr>
          <w:sz w:val="18"/>
          <w:szCs w:val="28"/>
        </w:rPr>
        <w:t>13（2001）年12月、平成24（2012）年９月、平成30（2018）年２月に改訂されています。　また、平成18（2006）年には「高齢者虐待の防止、高齢者の養護者に対する支援等に関する法律」が施行されました。</w:t>
      </w:r>
    </w:p>
    <w:p w14:paraId="0F2A7CED" w14:textId="77777777" w:rsidR="00CA2058" w:rsidRPr="000516AA" w:rsidRDefault="00CA2058" w:rsidP="00CA2058">
      <w:pPr>
        <w:spacing w:line="240" w:lineRule="auto"/>
        <w:rPr>
          <w:sz w:val="18"/>
          <w:szCs w:val="28"/>
        </w:rPr>
      </w:pPr>
    </w:p>
    <w:p w14:paraId="6C073B8E" w14:textId="77777777" w:rsidR="00CA2058" w:rsidRPr="000516AA" w:rsidRDefault="00CA2058" w:rsidP="00CA2058">
      <w:pPr>
        <w:spacing w:line="240" w:lineRule="auto"/>
        <w:rPr>
          <w:sz w:val="18"/>
          <w:szCs w:val="28"/>
        </w:rPr>
      </w:pPr>
      <w:r w:rsidRPr="000516AA">
        <w:rPr>
          <w:rFonts w:hint="eastAsia"/>
          <w:sz w:val="18"/>
          <w:szCs w:val="28"/>
        </w:rPr>
        <w:t>大阪府では</w:t>
      </w:r>
    </w:p>
    <w:p w14:paraId="6C849DE9" w14:textId="77777777" w:rsidR="00CA2058" w:rsidRPr="000516AA" w:rsidRDefault="00CA2058" w:rsidP="00CA2058">
      <w:pPr>
        <w:spacing w:line="240" w:lineRule="auto"/>
        <w:rPr>
          <w:sz w:val="18"/>
          <w:szCs w:val="28"/>
        </w:rPr>
      </w:pPr>
      <w:r w:rsidRPr="000516AA">
        <w:rPr>
          <w:rFonts w:hint="eastAsia"/>
          <w:sz w:val="18"/>
          <w:szCs w:val="28"/>
        </w:rPr>
        <w:t xml:space="preserve">　平成６（</w:t>
      </w:r>
      <w:r w:rsidRPr="000516AA">
        <w:rPr>
          <w:sz w:val="18"/>
          <w:szCs w:val="28"/>
        </w:rPr>
        <w:t>1994）年度より、保健福祉サービスの整備目標を示した「ふれあいおおさか高齢者計画」を定め、施策を計画的・総合的に進めてきました。令和３（2021）年度からは、府の介護保険施策の方向性を定める「羅針盤」となる「大阪府高齢者計画2021（令和３年３月策定）」に基づき、団塊世代の全てが75歳以上となる2025年、及び、介護需要がピークを迎える2040年に向け、施策を推進しています。</w:t>
      </w:r>
    </w:p>
    <w:p w14:paraId="36AAE011" w14:textId="77777777" w:rsidR="00CA2058" w:rsidRPr="000516AA" w:rsidRDefault="00CA2058" w:rsidP="00CA2058">
      <w:pPr>
        <w:spacing w:line="240" w:lineRule="auto"/>
        <w:rPr>
          <w:sz w:val="18"/>
          <w:szCs w:val="28"/>
        </w:rPr>
      </w:pPr>
      <w:r w:rsidRPr="000516AA">
        <w:rPr>
          <w:rFonts w:hint="eastAsia"/>
          <w:sz w:val="18"/>
          <w:szCs w:val="28"/>
        </w:rPr>
        <w:t xml:space="preserve">　また、認知症の方ができる限り住み慣れた地域のよい環境で自分らしく暮らし続けることができる社会の実現をめざし、実現に向けた基本的な政策目標と施策を明らかにした「大阪府認知症施策推進計画</w:t>
      </w:r>
      <w:r w:rsidRPr="000516AA">
        <w:rPr>
          <w:sz w:val="18"/>
          <w:szCs w:val="28"/>
        </w:rPr>
        <w:t>2021（令和３年３月策定）」に基づき、市町村における認知症の人や家族を支援する「認知症サポーター」の養成を支援するキャラバン・メイトの養成等に取り組んでいます。</w:t>
      </w:r>
    </w:p>
    <w:p w14:paraId="5462BFB8" w14:textId="77777777" w:rsidR="00CA2058" w:rsidRPr="000516AA" w:rsidRDefault="00CA2058" w:rsidP="00CA2058">
      <w:pPr>
        <w:spacing w:line="240" w:lineRule="auto"/>
        <w:rPr>
          <w:sz w:val="18"/>
          <w:szCs w:val="28"/>
        </w:rPr>
      </w:pPr>
      <w:r w:rsidRPr="000516AA">
        <w:rPr>
          <w:rFonts w:hint="eastAsia"/>
          <w:sz w:val="18"/>
          <w:szCs w:val="28"/>
        </w:rPr>
        <w:t xml:space="preserve">　高齢者虐待の防止については、市町村の高齢者虐待対応力の向上を図るために、市町村や地域包括支援センターの職員に対する研修を体系的（初任者、現任者、管理職対象）に実施するとともに、支援困難事例に対応する市町村への助言及び弁護士、社会福祉士の専門職チームの派遣、市町村での取組状況等の情報交換の場の設定等、市町村における高齢者虐待防止体制整備への支援を行っています。</w:t>
      </w:r>
    </w:p>
    <w:p w14:paraId="6B61E3FC" w14:textId="77777777" w:rsidR="00CA2058" w:rsidRPr="000516AA" w:rsidRDefault="00CA2058" w:rsidP="00CA2058">
      <w:pPr>
        <w:spacing w:line="240" w:lineRule="auto"/>
        <w:rPr>
          <w:sz w:val="18"/>
          <w:szCs w:val="28"/>
        </w:rPr>
      </w:pPr>
      <w:r w:rsidRPr="000516AA">
        <w:rPr>
          <w:rFonts w:hint="eastAsia"/>
          <w:sz w:val="18"/>
          <w:szCs w:val="28"/>
        </w:rPr>
        <w:t xml:space="preserve">　養介護施設等での高齢者虐待防止の支援としては、施設職員の高齢者虐待防止への理解の促進、施設内での虐待防止研修の実施促進等を図るため、養介護施設従事者等を対象とした高齢者虐待防止研修を実施しています。</w:t>
      </w:r>
    </w:p>
    <w:p w14:paraId="25743B33" w14:textId="77777777" w:rsidR="00CA2058" w:rsidRPr="000516AA" w:rsidRDefault="00CA2058" w:rsidP="00CA2058">
      <w:pPr>
        <w:spacing w:line="240" w:lineRule="auto"/>
        <w:rPr>
          <w:sz w:val="18"/>
          <w:szCs w:val="28"/>
        </w:rPr>
      </w:pPr>
      <w:r w:rsidRPr="000516AA">
        <w:rPr>
          <w:rFonts w:hint="eastAsia"/>
          <w:sz w:val="18"/>
          <w:szCs w:val="28"/>
        </w:rPr>
        <w:t xml:space="preserve">　また、介護保険施設等における身体拘束ゼロに向けた自主的な体制整備の取り組みを推進するため、各施設の実態に応じたマニュアルを作成するための支援等を行っています。その他、高齢者の尊厳を基本とするより良いケアの提供と技術の向上を目的とした研修会（身体拘束ゼロ推進員養成研修）を実施しています。</w:t>
      </w:r>
    </w:p>
    <w:p w14:paraId="770FE8B8" w14:textId="77777777" w:rsidR="00CA2058" w:rsidRPr="000516AA" w:rsidRDefault="00CA2058" w:rsidP="00CA2058">
      <w:pPr>
        <w:spacing w:line="240" w:lineRule="auto"/>
        <w:rPr>
          <w:sz w:val="18"/>
          <w:szCs w:val="28"/>
        </w:rPr>
      </w:pPr>
      <w:r w:rsidRPr="000516AA">
        <w:rPr>
          <w:rFonts w:hint="eastAsia"/>
          <w:sz w:val="18"/>
          <w:szCs w:val="28"/>
        </w:rPr>
        <w:t>養護者（※）・養介護施設従事者等による虐待の相談は…</w:t>
      </w:r>
    </w:p>
    <w:p w14:paraId="385FC8D7" w14:textId="77777777" w:rsidR="00CA2058" w:rsidRPr="000516AA" w:rsidRDefault="00CA2058" w:rsidP="00CA2058">
      <w:pPr>
        <w:spacing w:line="240" w:lineRule="auto"/>
        <w:rPr>
          <w:sz w:val="18"/>
          <w:szCs w:val="28"/>
        </w:rPr>
      </w:pPr>
      <w:r w:rsidRPr="000516AA">
        <w:rPr>
          <w:rFonts w:hint="eastAsia"/>
          <w:sz w:val="18"/>
          <w:szCs w:val="28"/>
        </w:rPr>
        <w:t>市町村や地域包括支援センターに相談してください。詳しくは府ホームページをご覧ください。</w:t>
      </w:r>
    </w:p>
    <w:p w14:paraId="4DA8AC75" w14:textId="77777777" w:rsidR="00CA2058" w:rsidRPr="000516AA" w:rsidRDefault="00CA2058" w:rsidP="00CA2058">
      <w:pPr>
        <w:spacing w:line="240" w:lineRule="auto"/>
        <w:rPr>
          <w:sz w:val="18"/>
          <w:szCs w:val="28"/>
        </w:rPr>
      </w:pPr>
      <w:r w:rsidRPr="000516AA">
        <w:rPr>
          <w:rFonts w:hint="eastAsia"/>
          <w:sz w:val="18"/>
          <w:szCs w:val="28"/>
        </w:rPr>
        <w:t>※日常的に高齢者の世話をしている家族、親族、同居人等</w:t>
      </w:r>
    </w:p>
    <w:p w14:paraId="5AECE1DD" w14:textId="77777777" w:rsidR="00CA2058" w:rsidRPr="000516AA" w:rsidRDefault="00CA2058" w:rsidP="00CA2058">
      <w:pPr>
        <w:spacing w:line="240" w:lineRule="auto"/>
        <w:rPr>
          <w:sz w:val="18"/>
          <w:szCs w:val="28"/>
        </w:rPr>
      </w:pPr>
      <w:r w:rsidRPr="000516AA">
        <w:rPr>
          <w:rFonts w:hint="eastAsia"/>
          <w:sz w:val="18"/>
          <w:szCs w:val="28"/>
        </w:rPr>
        <w:lastRenderedPageBreak/>
        <w:t>大阪府　高齢者虐待防止への取組</w:t>
      </w:r>
    </w:p>
    <w:p w14:paraId="4CA1C190" w14:textId="77777777" w:rsidR="00CA2058" w:rsidRPr="000516AA" w:rsidRDefault="00CA2058" w:rsidP="00CA2058">
      <w:pPr>
        <w:spacing w:line="240" w:lineRule="auto"/>
        <w:rPr>
          <w:sz w:val="18"/>
          <w:szCs w:val="28"/>
        </w:rPr>
      </w:pPr>
    </w:p>
    <w:p w14:paraId="748B88D3" w14:textId="77777777" w:rsidR="00CA2058" w:rsidRPr="000516AA" w:rsidRDefault="00CA2058" w:rsidP="00CA2058">
      <w:pPr>
        <w:spacing w:line="240" w:lineRule="auto"/>
        <w:rPr>
          <w:sz w:val="18"/>
          <w:szCs w:val="28"/>
        </w:rPr>
      </w:pPr>
      <w:r w:rsidRPr="000516AA">
        <w:rPr>
          <w:rFonts w:hint="eastAsia"/>
          <w:sz w:val="18"/>
          <w:szCs w:val="28"/>
        </w:rPr>
        <w:t>■大阪府における高齢者虐待の状況</w:t>
      </w:r>
    </w:p>
    <w:p w14:paraId="280D0CDA" w14:textId="77777777" w:rsidR="00CA2058" w:rsidRPr="000516AA" w:rsidRDefault="00CA2058" w:rsidP="00CA2058">
      <w:pPr>
        <w:spacing w:line="240" w:lineRule="auto"/>
        <w:rPr>
          <w:sz w:val="18"/>
          <w:szCs w:val="28"/>
        </w:rPr>
      </w:pPr>
      <w:r w:rsidRPr="000516AA">
        <w:rPr>
          <w:rFonts w:hint="eastAsia"/>
          <w:sz w:val="18"/>
          <w:szCs w:val="28"/>
        </w:rPr>
        <w:t>大阪府「令和４年度大阪府内市町村における高齢者虐待の対応状況」より</w:t>
      </w:r>
    </w:p>
    <w:p w14:paraId="17B2C6F6" w14:textId="77777777" w:rsidR="00CA2058" w:rsidRPr="000516AA" w:rsidRDefault="00CA2058" w:rsidP="00CA2058">
      <w:pPr>
        <w:spacing w:line="240" w:lineRule="auto"/>
        <w:rPr>
          <w:sz w:val="18"/>
          <w:szCs w:val="28"/>
        </w:rPr>
      </w:pPr>
    </w:p>
    <w:p w14:paraId="6B085401" w14:textId="77777777" w:rsidR="00CA2058" w:rsidRPr="00CA2058" w:rsidRDefault="00CA2058"/>
    <w:sectPr w:rsidR="00CA2058" w:rsidRPr="00CA205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58"/>
    <w:rsid w:val="00CA2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BC3410"/>
  <w15:chartTrackingRefBased/>
  <w15:docId w15:val="{86DA04AF-FE11-4191-BFC3-4B61DD73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058"/>
    <w:pPr>
      <w:widowControl w:val="0"/>
    </w:pPr>
  </w:style>
  <w:style w:type="paragraph" w:styleId="1">
    <w:name w:val="heading 1"/>
    <w:basedOn w:val="a"/>
    <w:next w:val="a"/>
    <w:link w:val="10"/>
    <w:uiPriority w:val="9"/>
    <w:qFormat/>
    <w:rsid w:val="00CA205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A205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A205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A20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A20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A20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A20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A20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A20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205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A205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A205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A205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A205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A205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A205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A205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A205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A20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A20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0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A20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058"/>
    <w:pPr>
      <w:spacing w:before="160"/>
      <w:jc w:val="center"/>
    </w:pPr>
    <w:rPr>
      <w:i/>
      <w:iCs/>
      <w:color w:val="404040" w:themeColor="text1" w:themeTint="BF"/>
    </w:rPr>
  </w:style>
  <w:style w:type="character" w:customStyle="1" w:styleId="a8">
    <w:name w:val="引用文 (文字)"/>
    <w:basedOn w:val="a0"/>
    <w:link w:val="a7"/>
    <w:uiPriority w:val="29"/>
    <w:rsid w:val="00CA2058"/>
    <w:rPr>
      <w:i/>
      <w:iCs/>
      <w:color w:val="404040" w:themeColor="text1" w:themeTint="BF"/>
    </w:rPr>
  </w:style>
  <w:style w:type="paragraph" w:styleId="a9">
    <w:name w:val="List Paragraph"/>
    <w:basedOn w:val="a"/>
    <w:uiPriority w:val="34"/>
    <w:qFormat/>
    <w:rsid w:val="00CA2058"/>
    <w:pPr>
      <w:ind w:left="720"/>
      <w:contextualSpacing/>
    </w:pPr>
  </w:style>
  <w:style w:type="character" w:styleId="21">
    <w:name w:val="Intense Emphasis"/>
    <w:basedOn w:val="a0"/>
    <w:uiPriority w:val="21"/>
    <w:qFormat/>
    <w:rsid w:val="00CA2058"/>
    <w:rPr>
      <w:i/>
      <w:iCs/>
      <w:color w:val="0F4761" w:themeColor="accent1" w:themeShade="BF"/>
    </w:rPr>
  </w:style>
  <w:style w:type="paragraph" w:styleId="22">
    <w:name w:val="Intense Quote"/>
    <w:basedOn w:val="a"/>
    <w:next w:val="a"/>
    <w:link w:val="23"/>
    <w:uiPriority w:val="30"/>
    <w:qFormat/>
    <w:rsid w:val="00CA20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A2058"/>
    <w:rPr>
      <w:i/>
      <w:iCs/>
      <w:color w:val="0F4761" w:themeColor="accent1" w:themeShade="BF"/>
    </w:rPr>
  </w:style>
  <w:style w:type="character" w:styleId="24">
    <w:name w:val="Intense Reference"/>
    <w:basedOn w:val="a0"/>
    <w:uiPriority w:val="32"/>
    <w:qFormat/>
    <w:rsid w:val="00CA20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316</Words>
  <Characters>1802</Characters>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2024-01-22T11:34:00Z</dcterms:created>
  <dcterms:modified xsi:type="dcterms:W3CDTF">2024-01-22T11:34:00Z</dcterms:modified>
</cp:coreProperties>
</file>