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Y="1"/>
        <w:tblOverlap w:val="never"/>
        <w:tblW w:w="0" w:type="auto"/>
        <w:tblLook w:val="04A0" w:firstRow="1" w:lastRow="0" w:firstColumn="1" w:lastColumn="0" w:noHBand="0" w:noVBand="1"/>
      </w:tblPr>
      <w:tblGrid>
        <w:gridCol w:w="2376"/>
        <w:gridCol w:w="3279"/>
      </w:tblGrid>
      <w:tr w:rsidR="00580D76" w:rsidRPr="00AC3A4F" w14:paraId="77FA6052" w14:textId="77777777" w:rsidTr="00BF106D">
        <w:trPr>
          <w:trHeight w:val="538"/>
        </w:trPr>
        <w:tc>
          <w:tcPr>
            <w:tcW w:w="2376" w:type="dxa"/>
            <w:tcBorders>
              <w:top w:val="single" w:sz="12" w:space="0" w:color="auto"/>
              <w:left w:val="single" w:sz="12" w:space="0" w:color="auto"/>
              <w:bottom w:val="single" w:sz="12" w:space="0" w:color="auto"/>
            </w:tcBorders>
            <w:vAlign w:val="center"/>
          </w:tcPr>
          <w:p w14:paraId="36C4171F" w14:textId="3FBE1845" w:rsidR="00580D76" w:rsidRPr="00AC3A4F" w:rsidRDefault="00580D76" w:rsidP="00BF106D">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279" w:type="dxa"/>
            <w:tcBorders>
              <w:top w:val="single" w:sz="12" w:space="0" w:color="auto"/>
              <w:bottom w:val="single" w:sz="12" w:space="0" w:color="auto"/>
              <w:right w:val="single" w:sz="12" w:space="0" w:color="auto"/>
            </w:tcBorders>
            <w:vAlign w:val="center"/>
          </w:tcPr>
          <w:p w14:paraId="1BB7DF33" w14:textId="7EA81A48" w:rsidR="00D5012E" w:rsidRPr="00AC3A4F" w:rsidRDefault="00352EDB" w:rsidP="00BF106D">
            <w:pPr>
              <w:tabs>
                <w:tab w:val="left" w:pos="2268"/>
              </w:tabs>
              <w:snapToGrid w:val="0"/>
              <w:spacing w:line="300" w:lineRule="atLeast"/>
              <w:ind w:firstLineChars="100" w:firstLine="340"/>
              <w:rPr>
                <w:rFonts w:asciiTheme="majorEastAsia" w:eastAsiaTheme="majorEastAsia" w:hAnsiTheme="majorEastAsia"/>
                <w:sz w:val="34"/>
                <w:szCs w:val="34"/>
              </w:rPr>
            </w:pPr>
            <w:r>
              <w:rPr>
                <w:rFonts w:asciiTheme="majorEastAsia" w:eastAsiaTheme="majorEastAsia" w:hAnsiTheme="majorEastAsia" w:hint="eastAsia"/>
                <w:sz w:val="34"/>
                <w:szCs w:val="34"/>
              </w:rPr>
              <w:t>大阪府</w:t>
            </w:r>
            <w:r w:rsidR="00F4243C">
              <w:rPr>
                <w:rFonts w:asciiTheme="majorEastAsia" w:eastAsiaTheme="majorEastAsia" w:hAnsiTheme="majorEastAsia" w:hint="eastAsia"/>
                <w:sz w:val="34"/>
                <w:szCs w:val="34"/>
              </w:rPr>
              <w:t>電力総連</w:t>
            </w:r>
          </w:p>
        </w:tc>
      </w:tr>
    </w:tbl>
    <w:p w14:paraId="5B4E1DDA" w14:textId="534EACBF" w:rsidR="00580D76" w:rsidRDefault="00BF106D" w:rsidP="00580D76">
      <w:pPr>
        <w:tabs>
          <w:tab w:val="left" w:pos="2268"/>
        </w:tabs>
        <w:snapToGrid w:val="0"/>
        <w:spacing w:line="300" w:lineRule="atLeast"/>
        <w:rPr>
          <w:sz w:val="16"/>
        </w:rPr>
      </w:pPr>
      <w:r>
        <w:rPr>
          <w:sz w:val="16"/>
        </w:rPr>
        <w:br w:type="textWrapping" w:clear="all"/>
      </w:r>
    </w:p>
    <w:p w14:paraId="5EDC1BF8"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328" w:type="dxa"/>
        <w:tblLayout w:type="fixed"/>
        <w:tblLook w:val="04A0" w:firstRow="1" w:lastRow="0" w:firstColumn="1" w:lastColumn="0" w:noHBand="0" w:noVBand="1"/>
      </w:tblPr>
      <w:tblGrid>
        <w:gridCol w:w="611"/>
        <w:gridCol w:w="1398"/>
        <w:gridCol w:w="9213"/>
        <w:gridCol w:w="11106"/>
      </w:tblGrid>
      <w:tr w:rsidR="00580D76" w:rsidRPr="006C7FE9" w14:paraId="7E4DCF7D" w14:textId="77777777" w:rsidTr="00A038F4">
        <w:trPr>
          <w:trHeight w:val="497"/>
        </w:trPr>
        <w:tc>
          <w:tcPr>
            <w:tcW w:w="11222" w:type="dxa"/>
            <w:gridSpan w:val="3"/>
            <w:tcBorders>
              <w:top w:val="single" w:sz="12" w:space="0" w:color="auto"/>
              <w:left w:val="single" w:sz="12" w:space="0" w:color="auto"/>
            </w:tcBorders>
            <w:vAlign w:val="center"/>
          </w:tcPr>
          <w:p w14:paraId="3D29E8E3"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1106" w:type="dxa"/>
            <w:tcBorders>
              <w:top w:val="single" w:sz="12" w:space="0" w:color="auto"/>
              <w:right w:val="single" w:sz="12" w:space="0" w:color="auto"/>
            </w:tcBorders>
            <w:vAlign w:val="center"/>
          </w:tcPr>
          <w:p w14:paraId="0BD8269B"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580D76" w:rsidRPr="00D74D51" w14:paraId="0B79EBB6" w14:textId="77777777" w:rsidTr="00A038F4">
        <w:trPr>
          <w:cantSplit/>
          <w:trHeight w:val="7479"/>
        </w:trPr>
        <w:tc>
          <w:tcPr>
            <w:tcW w:w="611" w:type="dxa"/>
            <w:tcBorders>
              <w:top w:val="double" w:sz="4" w:space="0" w:color="auto"/>
              <w:left w:val="single" w:sz="12" w:space="0" w:color="auto"/>
            </w:tcBorders>
            <w:textDirection w:val="tbRlV"/>
            <w:vAlign w:val="center"/>
          </w:tcPr>
          <w:p w14:paraId="0A1DDDAF" w14:textId="77777777" w:rsidR="00580D76" w:rsidRPr="00D74D51"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10611" w:type="dxa"/>
            <w:gridSpan w:val="2"/>
            <w:tcBorders>
              <w:top w:val="double" w:sz="4" w:space="0" w:color="auto"/>
            </w:tcBorders>
          </w:tcPr>
          <w:p w14:paraId="5AC77092" w14:textId="35AEB114" w:rsidR="00E53B64" w:rsidRPr="00137050" w:rsidRDefault="002156DD" w:rsidP="00137050">
            <w:pPr>
              <w:tabs>
                <w:tab w:val="left" w:pos="2268"/>
              </w:tabs>
              <w:snapToGrid w:val="0"/>
              <w:spacing w:line="280" w:lineRule="atLeast"/>
              <w:ind w:left="422" w:hangingChars="200" w:hanging="422"/>
              <w:rPr>
                <w:rFonts w:asciiTheme="majorEastAsia" w:eastAsiaTheme="majorEastAsia" w:hAnsiTheme="majorEastAsia"/>
                <w:b/>
                <w:bCs/>
              </w:rPr>
            </w:pPr>
            <w:r w:rsidRPr="00A038F4">
              <w:rPr>
                <w:rFonts w:asciiTheme="majorEastAsia" w:eastAsiaTheme="majorEastAsia" w:hAnsiTheme="majorEastAsia" w:hint="eastAsia"/>
                <w:b/>
                <w:bCs/>
              </w:rPr>
              <w:t>【月例賃金】</w:t>
            </w:r>
          </w:p>
          <w:p w14:paraId="2946614F" w14:textId="7C085733" w:rsidR="00B54558" w:rsidRPr="0098278F" w:rsidRDefault="00B54558" w:rsidP="001E217C">
            <w:pPr>
              <w:tabs>
                <w:tab w:val="left" w:pos="2268"/>
              </w:tabs>
              <w:snapToGrid w:val="0"/>
              <w:spacing w:line="280" w:lineRule="atLeast"/>
              <w:ind w:leftChars="100" w:left="210"/>
              <w:rPr>
                <w:rFonts w:asciiTheme="majorEastAsia" w:eastAsiaTheme="majorEastAsia" w:hAnsiTheme="majorEastAsia"/>
                <w:b/>
                <w:bCs/>
              </w:rPr>
            </w:pPr>
            <w:r w:rsidRPr="0098278F">
              <w:rPr>
                <w:rFonts w:asciiTheme="majorEastAsia" w:eastAsiaTheme="majorEastAsia" w:hAnsiTheme="majorEastAsia" w:hint="eastAsia"/>
                <w:b/>
                <w:bCs/>
              </w:rPr>
              <w:t>＜ミニマム水準</w:t>
            </w:r>
            <w:r w:rsidR="004767D3">
              <w:rPr>
                <w:rFonts w:asciiTheme="majorEastAsia" w:eastAsiaTheme="majorEastAsia" w:hAnsiTheme="majorEastAsia" w:hint="eastAsia"/>
                <w:b/>
                <w:bCs/>
              </w:rPr>
              <w:t>（最低到達水準）</w:t>
            </w:r>
            <w:r w:rsidRPr="0098278F">
              <w:rPr>
                <w:rFonts w:asciiTheme="majorEastAsia" w:eastAsiaTheme="majorEastAsia" w:hAnsiTheme="majorEastAsia" w:hint="eastAsia"/>
                <w:b/>
                <w:bCs/>
              </w:rPr>
              <w:t>＞</w:t>
            </w:r>
          </w:p>
          <w:tbl>
            <w:tblPr>
              <w:tblStyle w:val="a3"/>
              <w:tblW w:w="10126" w:type="dxa"/>
              <w:tblInd w:w="210" w:type="dxa"/>
              <w:tblLayout w:type="fixed"/>
              <w:tblLook w:val="04A0" w:firstRow="1" w:lastRow="0" w:firstColumn="1" w:lastColumn="0" w:noHBand="0" w:noVBand="1"/>
            </w:tblPr>
            <w:tblGrid>
              <w:gridCol w:w="1196"/>
              <w:gridCol w:w="992"/>
              <w:gridCol w:w="1134"/>
              <w:gridCol w:w="1134"/>
              <w:gridCol w:w="1134"/>
              <w:gridCol w:w="1134"/>
              <w:gridCol w:w="1134"/>
              <w:gridCol w:w="1134"/>
              <w:gridCol w:w="1134"/>
            </w:tblGrid>
            <w:tr w:rsidR="0098278F" w:rsidRPr="0098278F" w14:paraId="6826653C" w14:textId="77777777" w:rsidTr="0029534F">
              <w:tc>
                <w:tcPr>
                  <w:tcW w:w="1196" w:type="dxa"/>
                </w:tcPr>
                <w:p w14:paraId="5E319FBB"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年齢</w:t>
                  </w:r>
                </w:p>
              </w:tc>
              <w:tc>
                <w:tcPr>
                  <w:tcW w:w="992" w:type="dxa"/>
                </w:tcPr>
                <w:p w14:paraId="30C99FB4"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18歳</w:t>
                  </w:r>
                </w:p>
              </w:tc>
              <w:tc>
                <w:tcPr>
                  <w:tcW w:w="1134" w:type="dxa"/>
                </w:tcPr>
                <w:p w14:paraId="42007CE7"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2</w:t>
                  </w:r>
                  <w:r w:rsidRPr="0098278F">
                    <w:rPr>
                      <w:rFonts w:asciiTheme="majorEastAsia" w:eastAsiaTheme="majorEastAsia" w:hAnsiTheme="majorEastAsia"/>
                    </w:rPr>
                    <w:t>0</w:t>
                  </w:r>
                  <w:r w:rsidRPr="0098278F">
                    <w:rPr>
                      <w:rFonts w:asciiTheme="majorEastAsia" w:eastAsiaTheme="majorEastAsia" w:hAnsiTheme="majorEastAsia" w:hint="eastAsia"/>
                    </w:rPr>
                    <w:t>歳</w:t>
                  </w:r>
                </w:p>
              </w:tc>
              <w:tc>
                <w:tcPr>
                  <w:tcW w:w="1134" w:type="dxa"/>
                </w:tcPr>
                <w:p w14:paraId="27C492D2"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25歳</w:t>
                  </w:r>
                </w:p>
              </w:tc>
              <w:tc>
                <w:tcPr>
                  <w:tcW w:w="1134" w:type="dxa"/>
                </w:tcPr>
                <w:p w14:paraId="3B414128"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30歳</w:t>
                  </w:r>
                </w:p>
              </w:tc>
              <w:tc>
                <w:tcPr>
                  <w:tcW w:w="1134" w:type="dxa"/>
                </w:tcPr>
                <w:p w14:paraId="516D5E37"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35歳</w:t>
                  </w:r>
                </w:p>
              </w:tc>
              <w:tc>
                <w:tcPr>
                  <w:tcW w:w="1134" w:type="dxa"/>
                </w:tcPr>
                <w:p w14:paraId="6BC45725"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40歳</w:t>
                  </w:r>
                </w:p>
              </w:tc>
              <w:tc>
                <w:tcPr>
                  <w:tcW w:w="1134" w:type="dxa"/>
                </w:tcPr>
                <w:p w14:paraId="6650073F"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45歳</w:t>
                  </w:r>
                </w:p>
              </w:tc>
              <w:tc>
                <w:tcPr>
                  <w:tcW w:w="1134" w:type="dxa"/>
                </w:tcPr>
                <w:p w14:paraId="2732EFCD" w14:textId="77777777" w:rsidR="00B54558" w:rsidRPr="0098278F" w:rsidRDefault="00B54558"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50歳</w:t>
                  </w:r>
                </w:p>
              </w:tc>
            </w:tr>
            <w:tr w:rsidR="0098278F" w:rsidRPr="0098278F" w14:paraId="2523B968" w14:textId="77777777" w:rsidTr="0029534F">
              <w:tc>
                <w:tcPr>
                  <w:tcW w:w="1196" w:type="dxa"/>
                </w:tcPr>
                <w:p w14:paraId="24069FDE" w14:textId="755FCA85"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水準(円)</w:t>
                  </w:r>
                </w:p>
              </w:tc>
              <w:tc>
                <w:tcPr>
                  <w:tcW w:w="992" w:type="dxa"/>
                </w:tcPr>
                <w:p w14:paraId="2D2FBECC" w14:textId="76E95144"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164</w:t>
                  </w:r>
                  <w:r w:rsidRPr="0098278F">
                    <w:rPr>
                      <w:rFonts w:asciiTheme="majorEastAsia" w:eastAsiaTheme="majorEastAsia" w:hAnsiTheme="majorEastAsia"/>
                    </w:rPr>
                    <w:t>,</w:t>
                  </w:r>
                  <w:r w:rsidRPr="0098278F">
                    <w:rPr>
                      <w:rFonts w:asciiTheme="majorEastAsia" w:eastAsiaTheme="majorEastAsia" w:hAnsiTheme="majorEastAsia" w:hint="eastAsia"/>
                    </w:rPr>
                    <w:t>7</w:t>
                  </w:r>
                  <w:r w:rsidRPr="0098278F">
                    <w:rPr>
                      <w:rFonts w:asciiTheme="majorEastAsia" w:eastAsiaTheme="majorEastAsia" w:hAnsiTheme="majorEastAsia"/>
                    </w:rPr>
                    <w:t>00</w:t>
                  </w:r>
                </w:p>
              </w:tc>
              <w:tc>
                <w:tcPr>
                  <w:tcW w:w="1134" w:type="dxa"/>
                </w:tcPr>
                <w:p w14:paraId="1BB765F6" w14:textId="6FDF8EC4"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rPr>
                    <w:t>1</w:t>
                  </w:r>
                  <w:r w:rsidRPr="0098278F">
                    <w:rPr>
                      <w:rFonts w:asciiTheme="majorEastAsia" w:eastAsiaTheme="majorEastAsia" w:hAnsiTheme="majorEastAsia" w:hint="eastAsia"/>
                    </w:rPr>
                    <w:t>74</w:t>
                  </w:r>
                  <w:r w:rsidRPr="0098278F">
                    <w:rPr>
                      <w:rFonts w:asciiTheme="majorEastAsia" w:eastAsiaTheme="majorEastAsia" w:hAnsiTheme="majorEastAsia"/>
                    </w:rPr>
                    <w:t>,300</w:t>
                  </w:r>
                </w:p>
              </w:tc>
              <w:tc>
                <w:tcPr>
                  <w:tcW w:w="1134" w:type="dxa"/>
                </w:tcPr>
                <w:p w14:paraId="65CF5DA4" w14:textId="6E74F926"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198,300</w:t>
                  </w:r>
                </w:p>
              </w:tc>
              <w:tc>
                <w:tcPr>
                  <w:tcW w:w="1134" w:type="dxa"/>
                </w:tcPr>
                <w:p w14:paraId="5F483D29" w14:textId="18872211"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237,900</w:t>
                  </w:r>
                </w:p>
              </w:tc>
              <w:tc>
                <w:tcPr>
                  <w:tcW w:w="1134" w:type="dxa"/>
                </w:tcPr>
                <w:p w14:paraId="715F2CE7" w14:textId="13329203"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314,000</w:t>
                  </w:r>
                </w:p>
              </w:tc>
              <w:tc>
                <w:tcPr>
                  <w:tcW w:w="1134" w:type="dxa"/>
                </w:tcPr>
                <w:p w14:paraId="6B4A800B" w14:textId="16183A89"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360,500</w:t>
                  </w:r>
                </w:p>
              </w:tc>
              <w:tc>
                <w:tcPr>
                  <w:tcW w:w="1134" w:type="dxa"/>
                </w:tcPr>
                <w:p w14:paraId="241F1604" w14:textId="3A8A4B26"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387,800</w:t>
                  </w:r>
                </w:p>
              </w:tc>
              <w:tc>
                <w:tcPr>
                  <w:tcW w:w="1134" w:type="dxa"/>
                </w:tcPr>
                <w:p w14:paraId="579C6035" w14:textId="6671BF2D" w:rsidR="00FB5F93" w:rsidRPr="0098278F" w:rsidRDefault="00FB5F93" w:rsidP="00B54558">
                  <w:pPr>
                    <w:tabs>
                      <w:tab w:val="left" w:pos="2268"/>
                    </w:tabs>
                    <w:snapToGrid w:val="0"/>
                    <w:spacing w:line="300" w:lineRule="atLeast"/>
                    <w:rPr>
                      <w:rFonts w:asciiTheme="majorEastAsia" w:eastAsiaTheme="majorEastAsia" w:hAnsiTheme="majorEastAsia"/>
                    </w:rPr>
                  </w:pPr>
                  <w:r w:rsidRPr="0098278F">
                    <w:rPr>
                      <w:rFonts w:asciiTheme="majorEastAsia" w:eastAsiaTheme="majorEastAsia" w:hAnsiTheme="majorEastAsia" w:hint="eastAsia"/>
                    </w:rPr>
                    <w:t>392</w:t>
                  </w:r>
                  <w:r w:rsidRPr="0098278F">
                    <w:rPr>
                      <w:rFonts w:asciiTheme="majorEastAsia" w:eastAsiaTheme="majorEastAsia" w:hAnsiTheme="majorEastAsia"/>
                    </w:rPr>
                    <w:t>,</w:t>
                  </w:r>
                  <w:r w:rsidRPr="0098278F">
                    <w:rPr>
                      <w:rFonts w:asciiTheme="majorEastAsia" w:eastAsiaTheme="majorEastAsia" w:hAnsiTheme="majorEastAsia" w:hint="eastAsia"/>
                    </w:rPr>
                    <w:t>7</w:t>
                  </w:r>
                  <w:r w:rsidRPr="0098278F">
                    <w:rPr>
                      <w:rFonts w:asciiTheme="majorEastAsia" w:eastAsiaTheme="majorEastAsia" w:hAnsiTheme="majorEastAsia"/>
                    </w:rPr>
                    <w:t>00</w:t>
                  </w:r>
                </w:p>
              </w:tc>
            </w:tr>
          </w:tbl>
          <w:p w14:paraId="5E7D281C" w14:textId="047245AD" w:rsidR="000211FF" w:rsidRDefault="000211FF" w:rsidP="00035067">
            <w:pPr>
              <w:tabs>
                <w:tab w:val="left" w:pos="2268"/>
              </w:tabs>
              <w:snapToGrid w:val="0"/>
              <w:spacing w:line="260" w:lineRule="atLeast"/>
              <w:rPr>
                <w:rFonts w:asciiTheme="majorEastAsia" w:eastAsiaTheme="majorEastAsia" w:hAnsiTheme="majorEastAsia"/>
                <w:szCs w:val="21"/>
              </w:rPr>
            </w:pPr>
          </w:p>
          <w:p w14:paraId="08261EDD" w14:textId="77777777" w:rsidR="00137050" w:rsidRPr="00F01EAE" w:rsidRDefault="00137050" w:rsidP="00137050">
            <w:pPr>
              <w:tabs>
                <w:tab w:val="left" w:pos="2268"/>
              </w:tabs>
              <w:snapToGrid w:val="0"/>
              <w:spacing w:line="280" w:lineRule="atLeast"/>
              <w:ind w:left="422" w:hangingChars="200" w:hanging="422"/>
              <w:rPr>
                <w:rFonts w:asciiTheme="majorEastAsia" w:eastAsiaTheme="majorEastAsia" w:hAnsiTheme="majorEastAsia"/>
                <w:b/>
                <w:bCs/>
              </w:rPr>
            </w:pPr>
            <w:r>
              <w:rPr>
                <w:rFonts w:asciiTheme="majorEastAsia" w:eastAsiaTheme="majorEastAsia" w:hAnsiTheme="majorEastAsia" w:hint="eastAsia"/>
                <w:b/>
                <w:bCs/>
              </w:rPr>
              <w:t xml:space="preserve">　</w:t>
            </w:r>
            <w:r w:rsidRPr="00F01EAE">
              <w:rPr>
                <w:rFonts w:asciiTheme="majorEastAsia" w:eastAsiaTheme="majorEastAsia" w:hAnsiTheme="majorEastAsia" w:hint="eastAsia"/>
                <w:b/>
                <w:bCs/>
              </w:rPr>
              <w:t>＜到達目標水準＞</w:t>
            </w:r>
          </w:p>
          <w:p w14:paraId="397AC39A" w14:textId="77777777" w:rsidR="00137050" w:rsidRDefault="00137050" w:rsidP="00137050">
            <w:pPr>
              <w:tabs>
                <w:tab w:val="left" w:pos="2268"/>
              </w:tabs>
              <w:snapToGrid w:val="0"/>
              <w:spacing w:line="280" w:lineRule="atLeast"/>
              <w:ind w:leftChars="100" w:left="420" w:hangingChars="100" w:hanging="210"/>
              <w:rPr>
                <w:rFonts w:asciiTheme="majorEastAsia" w:eastAsiaTheme="majorEastAsia" w:hAnsiTheme="majorEastAsia"/>
              </w:rPr>
            </w:pPr>
            <w:r w:rsidRPr="00F01EAE">
              <w:rPr>
                <w:rFonts w:asciiTheme="majorEastAsia" w:eastAsiaTheme="majorEastAsia" w:hAnsiTheme="majorEastAsia" w:hint="eastAsia"/>
              </w:rPr>
              <w:t>（目標水準Ⅰ）賃金カーブ維持分の確保を大前提に、3％以上の月例賃金引き上げに取り組む。</w:t>
            </w:r>
          </w:p>
          <w:p w14:paraId="6B9313FA" w14:textId="77777777" w:rsidR="00137050" w:rsidRPr="0098278F" w:rsidRDefault="00137050" w:rsidP="00035067">
            <w:pPr>
              <w:tabs>
                <w:tab w:val="left" w:pos="2268"/>
              </w:tabs>
              <w:snapToGrid w:val="0"/>
              <w:spacing w:line="260" w:lineRule="atLeast"/>
              <w:rPr>
                <w:rFonts w:asciiTheme="majorEastAsia" w:eastAsiaTheme="majorEastAsia" w:hAnsiTheme="majorEastAsia"/>
                <w:szCs w:val="21"/>
              </w:rPr>
            </w:pPr>
          </w:p>
          <w:p w14:paraId="619E73F8" w14:textId="6314FB37" w:rsidR="00035067" w:rsidRPr="00A038F4" w:rsidRDefault="00035067" w:rsidP="00035067">
            <w:pPr>
              <w:tabs>
                <w:tab w:val="left" w:pos="2268"/>
              </w:tabs>
              <w:snapToGrid w:val="0"/>
              <w:spacing w:line="260" w:lineRule="atLeast"/>
              <w:rPr>
                <w:rFonts w:asciiTheme="majorEastAsia" w:eastAsiaTheme="majorEastAsia" w:hAnsiTheme="majorEastAsia"/>
                <w:b/>
                <w:bCs/>
                <w:szCs w:val="21"/>
              </w:rPr>
            </w:pPr>
            <w:r w:rsidRPr="00A038F4">
              <w:rPr>
                <w:rFonts w:asciiTheme="majorEastAsia" w:eastAsiaTheme="majorEastAsia" w:hAnsiTheme="majorEastAsia" w:hint="eastAsia"/>
                <w:b/>
                <w:bCs/>
                <w:szCs w:val="21"/>
              </w:rPr>
              <w:t>【規模間格差の是正（中小賃上げ要求）】</w:t>
            </w:r>
          </w:p>
          <w:p w14:paraId="2733872B" w14:textId="564F748C" w:rsidR="003268C9" w:rsidRDefault="00035067" w:rsidP="00277C6F">
            <w:pPr>
              <w:tabs>
                <w:tab w:val="left" w:pos="2268"/>
              </w:tabs>
              <w:snapToGrid w:val="0"/>
              <w:spacing w:line="260" w:lineRule="atLeast"/>
              <w:ind w:left="210" w:hangingChars="100" w:hanging="210"/>
              <w:rPr>
                <w:rFonts w:asciiTheme="majorEastAsia" w:eastAsiaTheme="majorEastAsia" w:hAnsiTheme="majorEastAsia"/>
                <w:szCs w:val="21"/>
              </w:rPr>
            </w:pPr>
            <w:r w:rsidRPr="0098278F">
              <w:rPr>
                <w:rFonts w:asciiTheme="majorEastAsia" w:eastAsiaTheme="majorEastAsia" w:hAnsiTheme="majorEastAsia" w:hint="eastAsia"/>
                <w:szCs w:val="21"/>
              </w:rPr>
              <w:t>・ミニマム水準及び</w:t>
            </w:r>
            <w:r w:rsidRPr="008D4A7A">
              <w:rPr>
                <w:rFonts w:asciiTheme="majorEastAsia" w:eastAsiaTheme="majorEastAsia" w:hAnsiTheme="majorEastAsia" w:hint="eastAsia"/>
                <w:szCs w:val="21"/>
              </w:rPr>
              <w:t>目標水準Ⅰ</w:t>
            </w:r>
            <w:r w:rsidRPr="0098278F">
              <w:rPr>
                <w:rFonts w:asciiTheme="majorEastAsia" w:eastAsiaTheme="majorEastAsia" w:hAnsiTheme="majorEastAsia" w:hint="eastAsia"/>
                <w:szCs w:val="21"/>
              </w:rPr>
              <w:t>に到達していない加盟組合は</w:t>
            </w:r>
            <w:r w:rsidR="00AD71D3">
              <w:rPr>
                <w:rFonts w:asciiTheme="majorEastAsia" w:eastAsiaTheme="majorEastAsia" w:hAnsiTheme="majorEastAsia" w:hint="eastAsia"/>
                <w:szCs w:val="21"/>
              </w:rPr>
              <w:t>、</w:t>
            </w:r>
            <w:r w:rsidRPr="0098278F">
              <w:rPr>
                <w:rFonts w:asciiTheme="majorEastAsia" w:eastAsiaTheme="majorEastAsia" w:hAnsiTheme="majorEastAsia" w:hint="eastAsia"/>
                <w:szCs w:val="21"/>
              </w:rPr>
              <w:t>1％以上の格差是正分を上乗せした金額を</w:t>
            </w:r>
            <w:r w:rsidR="00FB5F93" w:rsidRPr="0098278F">
              <w:rPr>
                <w:rFonts w:asciiTheme="majorEastAsia" w:eastAsiaTheme="majorEastAsia" w:hAnsiTheme="majorEastAsia" w:hint="eastAsia"/>
                <w:szCs w:val="21"/>
              </w:rPr>
              <w:t>要求する。また、3年前の賃金水準と比べ、9％以上（過去3年分の物価上昇率）増えていない場合は、その回復についても求める。</w:t>
            </w:r>
          </w:p>
          <w:p w14:paraId="6BA43147" w14:textId="77777777" w:rsidR="000211FF" w:rsidRPr="0098278F" w:rsidRDefault="000211FF" w:rsidP="00277C6F">
            <w:pPr>
              <w:tabs>
                <w:tab w:val="left" w:pos="2268"/>
              </w:tabs>
              <w:snapToGrid w:val="0"/>
              <w:spacing w:line="260" w:lineRule="atLeast"/>
              <w:ind w:left="210" w:hangingChars="100" w:hanging="210"/>
              <w:rPr>
                <w:rFonts w:asciiTheme="majorEastAsia" w:eastAsiaTheme="majorEastAsia" w:hAnsiTheme="majorEastAsia"/>
                <w:szCs w:val="21"/>
              </w:rPr>
            </w:pPr>
          </w:p>
          <w:p w14:paraId="2F9A42A2" w14:textId="69BBCBF9" w:rsidR="00035067" w:rsidRPr="00A038F4" w:rsidRDefault="00FB5F93" w:rsidP="00035067">
            <w:pPr>
              <w:tabs>
                <w:tab w:val="left" w:pos="2268"/>
              </w:tabs>
              <w:snapToGrid w:val="0"/>
              <w:spacing w:line="260" w:lineRule="atLeast"/>
              <w:rPr>
                <w:rFonts w:asciiTheme="majorEastAsia" w:eastAsiaTheme="majorEastAsia" w:hAnsiTheme="majorEastAsia"/>
                <w:b/>
                <w:bCs/>
              </w:rPr>
            </w:pPr>
            <w:r w:rsidRPr="00A038F4">
              <w:rPr>
                <w:rFonts w:asciiTheme="majorEastAsia" w:eastAsiaTheme="majorEastAsia" w:hAnsiTheme="majorEastAsia" w:hint="eastAsia"/>
                <w:b/>
                <w:bCs/>
              </w:rPr>
              <w:t>【雇用形態間</w:t>
            </w:r>
            <w:r w:rsidR="00AD71D3">
              <w:rPr>
                <w:rFonts w:asciiTheme="majorEastAsia" w:eastAsiaTheme="majorEastAsia" w:hAnsiTheme="majorEastAsia" w:hint="eastAsia"/>
                <w:b/>
                <w:bCs/>
              </w:rPr>
              <w:t>格差</w:t>
            </w:r>
            <w:r w:rsidRPr="00A038F4">
              <w:rPr>
                <w:rFonts w:asciiTheme="majorEastAsia" w:eastAsiaTheme="majorEastAsia" w:hAnsiTheme="majorEastAsia" w:hint="eastAsia"/>
                <w:b/>
                <w:bCs/>
              </w:rPr>
              <w:t>の是正】</w:t>
            </w:r>
          </w:p>
          <w:p w14:paraId="3E023E7A" w14:textId="49B6F873" w:rsidR="00035067" w:rsidRPr="0098278F" w:rsidRDefault="00035067" w:rsidP="00F93706">
            <w:pPr>
              <w:tabs>
                <w:tab w:val="left" w:pos="2268"/>
              </w:tabs>
              <w:snapToGrid w:val="0"/>
              <w:spacing w:line="260" w:lineRule="atLeast"/>
              <w:ind w:left="210" w:hangingChars="100" w:hanging="210"/>
              <w:rPr>
                <w:rFonts w:asciiTheme="majorEastAsia" w:eastAsiaTheme="majorEastAsia" w:hAnsiTheme="majorEastAsia"/>
              </w:rPr>
            </w:pPr>
            <w:r w:rsidRPr="0098278F">
              <w:rPr>
                <w:rFonts w:asciiTheme="majorEastAsia" w:eastAsiaTheme="majorEastAsia" w:hAnsiTheme="majorEastAsia" w:hint="eastAsia"/>
              </w:rPr>
              <w:t>・</w:t>
            </w:r>
            <w:r w:rsidR="00F93706" w:rsidRPr="0098278F">
              <w:rPr>
                <w:rFonts w:asciiTheme="majorEastAsia" w:eastAsiaTheme="majorEastAsia" w:hAnsiTheme="majorEastAsia" w:hint="eastAsia"/>
              </w:rPr>
              <w:t>企業内最低賃金協定の締結について、</w:t>
            </w:r>
            <w:r w:rsidR="00FB5F93" w:rsidRPr="0098278F">
              <w:rPr>
                <w:rFonts w:asciiTheme="majorEastAsia" w:eastAsiaTheme="majorEastAsia" w:hAnsiTheme="majorEastAsia" w:hint="eastAsia"/>
              </w:rPr>
              <w:t>地域別最低賃金を考慮しつつ、時間額「地域別最低賃金＋80円以上」をめざす。</w:t>
            </w:r>
          </w:p>
          <w:p w14:paraId="5529EF2A" w14:textId="15036D54" w:rsidR="003268C9" w:rsidRDefault="00F93706" w:rsidP="00277C6F">
            <w:pPr>
              <w:tabs>
                <w:tab w:val="left" w:pos="2268"/>
              </w:tabs>
              <w:snapToGrid w:val="0"/>
              <w:spacing w:line="260" w:lineRule="atLeast"/>
              <w:ind w:left="210" w:hangingChars="100" w:hanging="210"/>
              <w:rPr>
                <w:rFonts w:asciiTheme="majorEastAsia" w:eastAsiaTheme="majorEastAsia" w:hAnsiTheme="majorEastAsia"/>
              </w:rPr>
            </w:pPr>
            <w:r w:rsidRPr="0098278F">
              <w:rPr>
                <w:rFonts w:asciiTheme="majorEastAsia" w:eastAsiaTheme="majorEastAsia" w:hAnsiTheme="majorEastAsia" w:hint="eastAsia"/>
              </w:rPr>
              <w:t>・昇給ルールの導入を求める。</w:t>
            </w:r>
          </w:p>
          <w:p w14:paraId="3F85F5B9" w14:textId="77777777" w:rsidR="000211FF" w:rsidRPr="0098278F" w:rsidRDefault="000211FF" w:rsidP="00277C6F">
            <w:pPr>
              <w:tabs>
                <w:tab w:val="left" w:pos="2268"/>
              </w:tabs>
              <w:snapToGrid w:val="0"/>
              <w:spacing w:line="260" w:lineRule="atLeast"/>
              <w:ind w:left="210" w:hangingChars="100" w:hanging="210"/>
              <w:rPr>
                <w:rFonts w:asciiTheme="majorEastAsia" w:eastAsiaTheme="majorEastAsia" w:hAnsiTheme="majorEastAsia"/>
              </w:rPr>
            </w:pPr>
          </w:p>
          <w:p w14:paraId="6F160F67" w14:textId="3C59E013" w:rsidR="003268C9" w:rsidRPr="00A038F4" w:rsidRDefault="00FB5F93" w:rsidP="00035067">
            <w:pPr>
              <w:tabs>
                <w:tab w:val="left" w:pos="2268"/>
              </w:tabs>
              <w:snapToGrid w:val="0"/>
              <w:spacing w:line="260" w:lineRule="atLeast"/>
              <w:rPr>
                <w:rFonts w:asciiTheme="majorEastAsia" w:eastAsiaTheme="majorEastAsia" w:hAnsiTheme="majorEastAsia"/>
                <w:b/>
                <w:bCs/>
              </w:rPr>
            </w:pPr>
            <w:r w:rsidRPr="00A038F4">
              <w:rPr>
                <w:rFonts w:asciiTheme="majorEastAsia" w:eastAsiaTheme="majorEastAsia" w:hAnsiTheme="majorEastAsia" w:hint="eastAsia"/>
                <w:b/>
                <w:bCs/>
              </w:rPr>
              <w:t>【男女間賃金格差の是正】</w:t>
            </w:r>
          </w:p>
          <w:p w14:paraId="63233625" w14:textId="08EC7FC2" w:rsidR="00FB5F93" w:rsidRPr="0098278F" w:rsidRDefault="00FB5F93" w:rsidP="00FB5F93">
            <w:pPr>
              <w:tabs>
                <w:tab w:val="left" w:pos="2268"/>
              </w:tabs>
              <w:snapToGrid w:val="0"/>
              <w:spacing w:line="260" w:lineRule="atLeast"/>
              <w:ind w:left="210" w:hangingChars="100" w:hanging="210"/>
              <w:rPr>
                <w:rFonts w:asciiTheme="majorEastAsia" w:eastAsiaTheme="majorEastAsia" w:hAnsiTheme="majorEastAsia"/>
              </w:rPr>
            </w:pPr>
            <w:r w:rsidRPr="0098278F">
              <w:rPr>
                <w:rFonts w:asciiTheme="majorEastAsia" w:eastAsiaTheme="majorEastAsia" w:hAnsiTheme="majorEastAsia" w:hint="eastAsia"/>
              </w:rPr>
              <w:t>・</w:t>
            </w:r>
            <w:r w:rsidR="00F93706" w:rsidRPr="0098278F">
              <w:rPr>
                <w:rFonts w:asciiTheme="majorEastAsia" w:eastAsiaTheme="majorEastAsia" w:hAnsiTheme="majorEastAsia" w:hint="eastAsia"/>
              </w:rPr>
              <w:t>「見える化」と問題点の改善として、</w:t>
            </w:r>
            <w:r w:rsidRPr="0098278F">
              <w:rPr>
                <w:rFonts w:asciiTheme="majorEastAsia" w:eastAsiaTheme="majorEastAsia" w:hAnsiTheme="majorEastAsia" w:hint="eastAsia"/>
              </w:rPr>
              <w:t>女性の昇進・昇格の遅れ、仕事の配置や配分が男女で異なるといった男女間格差の実態について点検を行い、積極的な改善措置（ポジティブ・アクション）をはかる。</w:t>
            </w:r>
          </w:p>
          <w:p w14:paraId="1F00AE4E" w14:textId="11309B9E" w:rsidR="003268C9" w:rsidRDefault="00F93706" w:rsidP="00277C6F">
            <w:pPr>
              <w:tabs>
                <w:tab w:val="left" w:pos="2268"/>
              </w:tabs>
              <w:snapToGrid w:val="0"/>
              <w:spacing w:line="260" w:lineRule="atLeast"/>
              <w:ind w:left="210" w:hangingChars="100" w:hanging="210"/>
              <w:rPr>
                <w:rFonts w:asciiTheme="majorEastAsia" w:eastAsiaTheme="majorEastAsia" w:hAnsiTheme="majorEastAsia"/>
              </w:rPr>
            </w:pPr>
            <w:r w:rsidRPr="0098278F">
              <w:rPr>
                <w:rFonts w:asciiTheme="majorEastAsia" w:eastAsiaTheme="majorEastAsia" w:hAnsiTheme="majorEastAsia" w:hint="eastAsia"/>
              </w:rPr>
              <w:t>・生活関連手当を求める。</w:t>
            </w:r>
          </w:p>
          <w:p w14:paraId="10CEB4F9" w14:textId="77777777" w:rsidR="000211FF" w:rsidRPr="0098278F" w:rsidRDefault="000211FF" w:rsidP="00277C6F">
            <w:pPr>
              <w:tabs>
                <w:tab w:val="left" w:pos="2268"/>
              </w:tabs>
              <w:snapToGrid w:val="0"/>
              <w:spacing w:line="260" w:lineRule="atLeast"/>
              <w:ind w:left="210" w:hangingChars="100" w:hanging="210"/>
              <w:rPr>
                <w:rFonts w:asciiTheme="majorEastAsia" w:eastAsiaTheme="majorEastAsia" w:hAnsiTheme="majorEastAsia"/>
              </w:rPr>
            </w:pPr>
          </w:p>
          <w:p w14:paraId="3AF02EBA" w14:textId="51506C1D" w:rsidR="00035067" w:rsidRPr="00A038F4" w:rsidRDefault="00FB5F93" w:rsidP="00035067">
            <w:pPr>
              <w:tabs>
                <w:tab w:val="left" w:pos="2268"/>
              </w:tabs>
              <w:snapToGrid w:val="0"/>
              <w:spacing w:line="260" w:lineRule="atLeast"/>
              <w:rPr>
                <w:rFonts w:asciiTheme="majorEastAsia" w:eastAsiaTheme="majorEastAsia" w:hAnsiTheme="majorEastAsia"/>
                <w:b/>
                <w:bCs/>
              </w:rPr>
            </w:pPr>
            <w:r w:rsidRPr="00A038F4">
              <w:rPr>
                <w:rFonts w:asciiTheme="majorEastAsia" w:eastAsiaTheme="majorEastAsia" w:hAnsiTheme="majorEastAsia" w:hint="eastAsia"/>
                <w:b/>
                <w:bCs/>
              </w:rPr>
              <w:t>【初任給】</w:t>
            </w:r>
          </w:p>
          <w:p w14:paraId="7C412918" w14:textId="73A4B1E0" w:rsidR="00035067" w:rsidRPr="005D1CDF" w:rsidRDefault="005D1CDF" w:rsidP="009A2CDA">
            <w:pPr>
              <w:tabs>
                <w:tab w:val="left" w:pos="2268"/>
              </w:tabs>
              <w:snapToGrid w:val="0"/>
              <w:spacing w:line="260" w:lineRule="atLeast"/>
              <w:ind w:left="210" w:hangingChars="100" w:hanging="210"/>
              <w:rPr>
                <w:rFonts w:asciiTheme="majorEastAsia" w:eastAsiaTheme="majorEastAsia" w:hAnsiTheme="majorEastAsia"/>
              </w:rPr>
            </w:pPr>
            <w:r w:rsidRPr="005D1CDF">
              <w:rPr>
                <w:rFonts w:asciiTheme="majorEastAsia" w:eastAsiaTheme="majorEastAsia" w:hAnsiTheme="majorEastAsia" w:hint="eastAsia"/>
              </w:rPr>
              <w:t>・</w:t>
            </w:r>
            <w:r w:rsidR="003268C9">
              <w:rPr>
                <w:rFonts w:asciiTheme="majorEastAsia" w:eastAsiaTheme="majorEastAsia" w:hAnsiTheme="majorEastAsia" w:hint="eastAsia"/>
              </w:rPr>
              <w:t>社会水準の確保</w:t>
            </w:r>
          </w:p>
          <w:p w14:paraId="2E4A4565" w14:textId="04D660DB" w:rsidR="005D1CDF" w:rsidRPr="009A2CDA" w:rsidRDefault="005D1CDF" w:rsidP="009A2CDA">
            <w:pPr>
              <w:tabs>
                <w:tab w:val="left" w:pos="2268"/>
              </w:tabs>
              <w:snapToGrid w:val="0"/>
              <w:spacing w:line="260" w:lineRule="atLeast"/>
              <w:ind w:left="210" w:hangingChars="100" w:hanging="210"/>
              <w:rPr>
                <w:rFonts w:asciiTheme="majorEastAsia" w:eastAsiaTheme="majorEastAsia" w:hAnsiTheme="majorEastAsia"/>
              </w:rPr>
            </w:pPr>
            <w:r w:rsidRPr="005D1CDF">
              <w:rPr>
                <w:rFonts w:asciiTheme="majorEastAsia" w:eastAsiaTheme="majorEastAsia" w:hAnsiTheme="majorEastAsia" w:hint="eastAsia"/>
              </w:rPr>
              <w:t>・</w:t>
            </w:r>
            <w:r w:rsidR="003268C9">
              <w:rPr>
                <w:rFonts w:asciiTheme="majorEastAsia" w:eastAsiaTheme="majorEastAsia" w:hAnsiTheme="majorEastAsia" w:hint="eastAsia"/>
              </w:rPr>
              <w:t>年齢別最低到達水準の協定締結</w:t>
            </w:r>
          </w:p>
        </w:tc>
        <w:tc>
          <w:tcPr>
            <w:tcW w:w="11106" w:type="dxa"/>
            <w:vMerge w:val="restart"/>
            <w:tcBorders>
              <w:top w:val="double" w:sz="4" w:space="0" w:color="auto"/>
              <w:right w:val="single" w:sz="12" w:space="0" w:color="auto"/>
            </w:tcBorders>
          </w:tcPr>
          <w:p w14:paraId="4C6103B5" w14:textId="033B2A87" w:rsidR="00B54558" w:rsidRPr="00AA0549" w:rsidRDefault="00FF2201" w:rsidP="001F06A1">
            <w:pPr>
              <w:tabs>
                <w:tab w:val="left" w:pos="2268"/>
              </w:tabs>
              <w:snapToGrid w:val="0"/>
              <w:spacing w:line="260" w:lineRule="atLeast"/>
              <w:rPr>
                <w:rFonts w:asciiTheme="majorEastAsia" w:eastAsiaTheme="majorEastAsia" w:hAnsiTheme="majorEastAsia"/>
                <w:b/>
              </w:rPr>
            </w:pPr>
            <w:r>
              <w:rPr>
                <w:rFonts w:asciiTheme="majorEastAsia" w:eastAsiaTheme="majorEastAsia" w:hAnsiTheme="majorEastAsia" w:hint="eastAsia"/>
                <w:b/>
              </w:rPr>
              <w:t>【</w:t>
            </w:r>
            <w:r w:rsidR="00F721C1">
              <w:rPr>
                <w:rFonts w:asciiTheme="majorEastAsia" w:eastAsiaTheme="majorEastAsia" w:hAnsiTheme="majorEastAsia" w:hint="eastAsia"/>
                <w:b/>
              </w:rPr>
              <w:t>「すべての労働者の立場にたった働き方」の改善</w:t>
            </w:r>
            <w:r>
              <w:rPr>
                <w:rFonts w:asciiTheme="majorEastAsia" w:eastAsiaTheme="majorEastAsia" w:hAnsiTheme="majorEastAsia" w:hint="eastAsia"/>
                <w:b/>
              </w:rPr>
              <w:t>】</w:t>
            </w:r>
          </w:p>
          <w:p w14:paraId="474D72D0" w14:textId="5D5000A7" w:rsidR="00F721C1" w:rsidRDefault="00574C11" w:rsidP="00F721C1">
            <w:pPr>
              <w:tabs>
                <w:tab w:val="left" w:pos="2268"/>
              </w:tabs>
              <w:snapToGrid w:val="0"/>
              <w:spacing w:line="260" w:lineRule="atLeas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w:t>
            </w:r>
            <w:r w:rsidR="00F721C1">
              <w:rPr>
                <w:rFonts w:asciiTheme="majorEastAsia" w:eastAsiaTheme="majorEastAsia" w:hAnsiTheme="majorEastAsia" w:hint="eastAsia"/>
              </w:rPr>
              <w:t>「豊かな生活の確保」と「あるべき労働時間の実現」の取り組み</w:t>
            </w:r>
          </w:p>
          <w:p w14:paraId="74308A56" w14:textId="158F5490" w:rsidR="00F721C1" w:rsidRDefault="00F721C1" w:rsidP="00F721C1">
            <w:pPr>
              <w:tabs>
                <w:tab w:val="left" w:pos="2268"/>
              </w:tabs>
              <w:snapToGrid w:val="0"/>
              <w:spacing w:line="260" w:lineRule="atLeast"/>
              <w:rPr>
                <w:rFonts w:asciiTheme="majorEastAsia" w:eastAsiaTheme="majorEastAsia" w:hAnsiTheme="majorEastAsia"/>
              </w:rPr>
            </w:pPr>
            <w:r>
              <w:rPr>
                <w:rFonts w:asciiTheme="majorEastAsia" w:eastAsiaTheme="majorEastAsia" w:hAnsiTheme="majorEastAsia" w:hint="eastAsia"/>
              </w:rPr>
              <w:t xml:space="preserve">　休日</w:t>
            </w:r>
            <w:r w:rsidR="0098278F">
              <w:rPr>
                <w:rFonts w:asciiTheme="majorEastAsia" w:eastAsiaTheme="majorEastAsia" w:hAnsiTheme="majorEastAsia" w:hint="eastAsia"/>
              </w:rPr>
              <w:t>増</w:t>
            </w:r>
            <w:r w:rsidR="00427E74">
              <w:rPr>
                <w:rFonts w:asciiTheme="majorEastAsia" w:eastAsiaTheme="majorEastAsia" w:hAnsiTheme="majorEastAsia" w:hint="eastAsia"/>
              </w:rPr>
              <w:t>、</w:t>
            </w:r>
            <w:r w:rsidR="0098278F">
              <w:rPr>
                <w:rFonts w:asciiTheme="majorEastAsia" w:eastAsiaTheme="majorEastAsia" w:hAnsiTheme="majorEastAsia" w:hint="eastAsia"/>
              </w:rPr>
              <w:t>勤務間インターバル制度導入、年休</w:t>
            </w:r>
            <w:r w:rsidR="00427E74">
              <w:rPr>
                <w:rFonts w:asciiTheme="majorEastAsia" w:eastAsiaTheme="majorEastAsia" w:hAnsiTheme="majorEastAsia" w:hint="eastAsia"/>
              </w:rPr>
              <w:t>取得</w:t>
            </w:r>
            <w:r w:rsidR="0098278F">
              <w:rPr>
                <w:rFonts w:asciiTheme="majorEastAsia" w:eastAsiaTheme="majorEastAsia" w:hAnsiTheme="majorEastAsia" w:hint="eastAsia"/>
              </w:rPr>
              <w:t>促進</w:t>
            </w:r>
            <w:r w:rsidR="00624964">
              <w:rPr>
                <w:rFonts w:asciiTheme="majorEastAsia" w:eastAsiaTheme="majorEastAsia" w:hAnsiTheme="majorEastAsia" w:hint="eastAsia"/>
              </w:rPr>
              <w:t xml:space="preserve">　</w:t>
            </w:r>
            <w:r w:rsidR="0098278F">
              <w:rPr>
                <w:rFonts w:asciiTheme="majorEastAsia" w:eastAsiaTheme="majorEastAsia" w:hAnsiTheme="majorEastAsia" w:hint="eastAsia"/>
              </w:rPr>
              <w:t>など</w:t>
            </w:r>
          </w:p>
          <w:p w14:paraId="13A53B50" w14:textId="14D709EC" w:rsidR="00F721C1" w:rsidRDefault="00574C11" w:rsidP="00F721C1">
            <w:pPr>
              <w:tabs>
                <w:tab w:val="left" w:pos="2268"/>
              </w:tabs>
              <w:snapToGrid w:val="0"/>
              <w:spacing w:line="260" w:lineRule="atLeas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sidR="0098278F">
              <w:rPr>
                <w:rFonts w:asciiTheme="majorEastAsia" w:eastAsiaTheme="majorEastAsia" w:hAnsiTheme="majorEastAsia" w:hint="eastAsia"/>
              </w:rPr>
              <w:t>すべての労働者の雇用安定に向けた取り組み</w:t>
            </w:r>
          </w:p>
          <w:p w14:paraId="24AB9987" w14:textId="2344A789" w:rsidR="0098278F" w:rsidRDefault="0098278F" w:rsidP="00F721C1">
            <w:pPr>
              <w:tabs>
                <w:tab w:val="left" w:pos="2268"/>
              </w:tabs>
              <w:snapToGrid w:val="0"/>
              <w:spacing w:line="260" w:lineRule="atLeast"/>
              <w:rPr>
                <w:rFonts w:asciiTheme="majorEastAsia" w:eastAsiaTheme="majorEastAsia" w:hAnsiTheme="majorEastAsia"/>
              </w:rPr>
            </w:pPr>
            <w:r>
              <w:rPr>
                <w:rFonts w:asciiTheme="majorEastAsia" w:eastAsiaTheme="majorEastAsia" w:hAnsiTheme="majorEastAsia" w:hint="eastAsia"/>
              </w:rPr>
              <w:t xml:space="preserve">　</w:t>
            </w:r>
            <w:r w:rsidR="007E03E6">
              <w:rPr>
                <w:rFonts w:asciiTheme="majorEastAsia" w:eastAsiaTheme="majorEastAsia" w:hAnsiTheme="majorEastAsia" w:hint="eastAsia"/>
              </w:rPr>
              <w:t>働く者の雇用不安の払拭</w:t>
            </w:r>
            <w:r w:rsidR="00277C6F">
              <w:rPr>
                <w:rFonts w:asciiTheme="majorEastAsia" w:eastAsiaTheme="majorEastAsia" w:hAnsiTheme="majorEastAsia" w:hint="eastAsia"/>
              </w:rPr>
              <w:t>および</w:t>
            </w:r>
            <w:r w:rsidR="007E03E6">
              <w:rPr>
                <w:rFonts w:asciiTheme="majorEastAsia" w:eastAsiaTheme="majorEastAsia" w:hAnsiTheme="majorEastAsia" w:hint="eastAsia"/>
              </w:rPr>
              <w:t>人材の確保・育成・定着</w:t>
            </w:r>
            <w:r w:rsidR="00277C6F">
              <w:rPr>
                <w:rFonts w:asciiTheme="majorEastAsia" w:eastAsiaTheme="majorEastAsia" w:hAnsiTheme="majorEastAsia" w:hint="eastAsia"/>
              </w:rPr>
              <w:t>に関する諸課題の解決に向け</w:t>
            </w:r>
            <w:r w:rsidR="004F277B">
              <w:rPr>
                <w:rFonts w:asciiTheme="majorEastAsia" w:eastAsiaTheme="majorEastAsia" w:hAnsiTheme="majorEastAsia" w:hint="eastAsia"/>
              </w:rPr>
              <w:t>て</w:t>
            </w:r>
            <w:r w:rsidR="00277C6F">
              <w:rPr>
                <w:rFonts w:asciiTheme="majorEastAsia" w:eastAsiaTheme="majorEastAsia" w:hAnsiTheme="majorEastAsia" w:hint="eastAsia"/>
              </w:rPr>
              <w:t>取り組</w:t>
            </w:r>
            <w:r w:rsidR="004F277B">
              <w:rPr>
                <w:rFonts w:asciiTheme="majorEastAsia" w:eastAsiaTheme="majorEastAsia" w:hAnsiTheme="majorEastAsia" w:hint="eastAsia"/>
              </w:rPr>
              <w:t>む</w:t>
            </w:r>
          </w:p>
          <w:p w14:paraId="4631EA27" w14:textId="3631D7FA" w:rsidR="007E03E6" w:rsidRDefault="00574C11" w:rsidP="00F721C1">
            <w:pPr>
              <w:tabs>
                <w:tab w:val="left" w:pos="2268"/>
              </w:tabs>
              <w:snapToGrid w:val="0"/>
              <w:spacing w:line="260" w:lineRule="atLeas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3)</w:t>
            </w:r>
            <w:r w:rsidR="007E03E6">
              <w:rPr>
                <w:rFonts w:asciiTheme="majorEastAsia" w:eastAsiaTheme="majorEastAsia" w:hAnsiTheme="majorEastAsia" w:hint="eastAsia"/>
              </w:rPr>
              <w:t>職場における均等・均衡待遇実現に向けた取り組み</w:t>
            </w:r>
          </w:p>
          <w:p w14:paraId="6AA77749" w14:textId="77777777" w:rsidR="00961280" w:rsidRDefault="001C7942" w:rsidP="00F721C1">
            <w:pPr>
              <w:tabs>
                <w:tab w:val="left" w:pos="2268"/>
              </w:tabs>
              <w:snapToGrid w:val="0"/>
              <w:spacing w:line="260" w:lineRule="atLeast"/>
              <w:rPr>
                <w:rFonts w:asciiTheme="majorEastAsia" w:eastAsiaTheme="majorEastAsia" w:hAnsiTheme="majorEastAsia"/>
              </w:rPr>
            </w:pPr>
            <w:r>
              <w:rPr>
                <w:rFonts w:asciiTheme="majorEastAsia" w:eastAsiaTheme="majorEastAsia" w:hAnsiTheme="majorEastAsia" w:hint="eastAsia"/>
              </w:rPr>
              <w:t xml:space="preserve">　</w:t>
            </w:r>
            <w:r w:rsidR="00961280">
              <w:rPr>
                <w:rFonts w:asciiTheme="majorEastAsia" w:eastAsiaTheme="majorEastAsia" w:hAnsiTheme="majorEastAsia" w:hint="eastAsia"/>
              </w:rPr>
              <w:t xml:space="preserve">労働契約法・労働者派遣法および同一労働同一賃金に関する法改正の趣旨をふまえ、正社員とパート・有期・派遣　</w:t>
            </w:r>
          </w:p>
          <w:p w14:paraId="31375482" w14:textId="22587191" w:rsidR="001C7942" w:rsidRDefault="00961280" w:rsidP="00F721C1">
            <w:pPr>
              <w:tabs>
                <w:tab w:val="left" w:pos="2268"/>
              </w:tabs>
              <w:snapToGrid w:val="0"/>
              <w:spacing w:line="260" w:lineRule="atLeast"/>
              <w:rPr>
                <w:rFonts w:asciiTheme="majorEastAsia" w:eastAsiaTheme="majorEastAsia" w:hAnsiTheme="majorEastAsia"/>
              </w:rPr>
            </w:pPr>
            <w:r>
              <w:rPr>
                <w:rFonts w:asciiTheme="majorEastAsia" w:eastAsiaTheme="majorEastAsia" w:hAnsiTheme="majorEastAsia" w:hint="eastAsia"/>
              </w:rPr>
              <w:t xml:space="preserve">　で働く者との均等・均衡待遇の実現に向けて取り組む</w:t>
            </w:r>
          </w:p>
          <w:p w14:paraId="2DFBB819" w14:textId="33BC0249" w:rsidR="00A82162" w:rsidRPr="007E03E6" w:rsidRDefault="00574C1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4)</w:t>
            </w:r>
            <w:r w:rsidR="009D2399">
              <w:rPr>
                <w:rFonts w:asciiTheme="majorEastAsia" w:eastAsiaTheme="majorEastAsia" w:hAnsiTheme="majorEastAsia" w:hint="eastAsia"/>
                <w:bCs/>
              </w:rPr>
              <w:t>人材育成と教育訓練の充実</w:t>
            </w:r>
          </w:p>
          <w:p w14:paraId="1D97FF86" w14:textId="3944828C" w:rsidR="007E03E6" w:rsidRPr="007E03E6" w:rsidRDefault="009D2399"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 xml:space="preserve">　教育訓練機会の確保・充実、教育訓練の時間確保</w:t>
            </w:r>
            <w:r w:rsidR="0029777C">
              <w:rPr>
                <w:rFonts w:asciiTheme="majorEastAsia" w:eastAsiaTheme="majorEastAsia" w:hAnsiTheme="majorEastAsia" w:hint="eastAsia"/>
                <w:bCs/>
              </w:rPr>
              <w:t xml:space="preserve">　</w:t>
            </w:r>
            <w:r>
              <w:rPr>
                <w:rFonts w:asciiTheme="majorEastAsia" w:eastAsiaTheme="majorEastAsia" w:hAnsiTheme="majorEastAsia" w:hint="eastAsia"/>
                <w:bCs/>
              </w:rPr>
              <w:t>など</w:t>
            </w:r>
          </w:p>
          <w:p w14:paraId="4CB40F68" w14:textId="2FD25AA2" w:rsidR="009D2399" w:rsidRPr="007E03E6" w:rsidRDefault="00574C1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5)</w:t>
            </w:r>
            <w:r w:rsidR="009D2399">
              <w:rPr>
                <w:rFonts w:asciiTheme="majorEastAsia" w:eastAsiaTheme="majorEastAsia" w:hAnsiTheme="majorEastAsia" w:hint="eastAsia"/>
                <w:bCs/>
              </w:rPr>
              <w:t>60歳以降の高齢期における雇用と処遇に関する取り組み</w:t>
            </w:r>
          </w:p>
          <w:p w14:paraId="2F90DBEC" w14:textId="77777777" w:rsidR="002349A8" w:rsidRPr="00A52294" w:rsidRDefault="009D2399"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 xml:space="preserve">　</w:t>
            </w:r>
            <w:r w:rsidRPr="00A52294">
              <w:rPr>
                <w:rFonts w:asciiTheme="majorEastAsia" w:eastAsiaTheme="majorEastAsia" w:hAnsiTheme="majorEastAsia" w:hint="eastAsia"/>
                <w:bCs/>
              </w:rPr>
              <w:t>定年延長</w:t>
            </w:r>
            <w:r w:rsidR="002349A8" w:rsidRPr="00A52294">
              <w:rPr>
                <w:rFonts w:asciiTheme="majorEastAsia" w:eastAsiaTheme="majorEastAsia" w:hAnsiTheme="majorEastAsia" w:hint="eastAsia"/>
                <w:bCs/>
              </w:rPr>
              <w:t>導入</w:t>
            </w:r>
            <w:r w:rsidRPr="00A52294">
              <w:rPr>
                <w:rFonts w:asciiTheme="majorEastAsia" w:eastAsiaTheme="majorEastAsia" w:hAnsiTheme="majorEastAsia" w:hint="eastAsia"/>
                <w:bCs/>
              </w:rPr>
              <w:t>時に60歳前後で連続した制度</w:t>
            </w:r>
            <w:r w:rsidR="002349A8" w:rsidRPr="00A52294">
              <w:rPr>
                <w:rFonts w:asciiTheme="majorEastAsia" w:eastAsiaTheme="majorEastAsia" w:hAnsiTheme="majorEastAsia" w:hint="eastAsia"/>
                <w:bCs/>
              </w:rPr>
              <w:t>となるよう取り組む</w:t>
            </w:r>
            <w:r w:rsidRPr="00A52294">
              <w:rPr>
                <w:rFonts w:asciiTheme="majorEastAsia" w:eastAsiaTheme="majorEastAsia" w:hAnsiTheme="majorEastAsia" w:hint="eastAsia"/>
                <w:bCs/>
              </w:rPr>
              <w:t>、労働者自身が60歳から65歳までの間で定年年</w:t>
            </w:r>
          </w:p>
          <w:p w14:paraId="3DCE5A7A" w14:textId="28C9A108" w:rsidR="007E03E6" w:rsidRPr="007E03E6" w:rsidRDefault="009D2399" w:rsidP="002349A8">
            <w:pPr>
              <w:tabs>
                <w:tab w:val="left" w:pos="2268"/>
              </w:tabs>
              <w:snapToGrid w:val="0"/>
              <w:spacing w:line="260" w:lineRule="atLeast"/>
              <w:ind w:firstLineChars="100" w:firstLine="210"/>
              <w:rPr>
                <w:rFonts w:asciiTheme="majorEastAsia" w:eastAsiaTheme="majorEastAsia" w:hAnsiTheme="majorEastAsia"/>
                <w:bCs/>
              </w:rPr>
            </w:pPr>
            <w:r w:rsidRPr="00A52294">
              <w:rPr>
                <w:rFonts w:asciiTheme="majorEastAsia" w:eastAsiaTheme="majorEastAsia" w:hAnsiTheme="majorEastAsia" w:hint="eastAsia"/>
                <w:bCs/>
              </w:rPr>
              <w:t>齢を選択できる仕組み</w:t>
            </w:r>
            <w:r w:rsidR="002349A8" w:rsidRPr="00A52294">
              <w:rPr>
                <w:rFonts w:asciiTheme="majorEastAsia" w:eastAsiaTheme="majorEastAsia" w:hAnsiTheme="majorEastAsia" w:hint="eastAsia"/>
                <w:bCs/>
              </w:rPr>
              <w:t>づくり</w:t>
            </w:r>
          </w:p>
          <w:p w14:paraId="1B018DC4" w14:textId="5CE4AECA" w:rsidR="007E03E6" w:rsidRPr="007E03E6" w:rsidRDefault="00574C1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6)</w:t>
            </w:r>
            <w:r w:rsidR="009D2399">
              <w:rPr>
                <w:rFonts w:asciiTheme="majorEastAsia" w:eastAsiaTheme="majorEastAsia" w:hAnsiTheme="majorEastAsia" w:hint="eastAsia"/>
                <w:bCs/>
              </w:rPr>
              <w:t>職場における安全衛生対策の推進に関する取り組み</w:t>
            </w:r>
          </w:p>
          <w:p w14:paraId="61A55F9D" w14:textId="1D812B48" w:rsidR="007E03E6" w:rsidRDefault="009D2399"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 xml:space="preserve">　</w:t>
            </w:r>
            <w:r w:rsidRPr="00CF7942">
              <w:rPr>
                <w:rFonts w:asciiTheme="majorEastAsia" w:eastAsiaTheme="majorEastAsia" w:hAnsiTheme="majorEastAsia" w:hint="eastAsia"/>
                <w:bCs/>
              </w:rPr>
              <w:t>働きやすい職場の創出、作業環境、能力開発、健康管理、付与業務の確保</w:t>
            </w:r>
            <w:r w:rsidR="00A038F4" w:rsidRPr="00CF7942">
              <w:rPr>
                <w:rFonts w:asciiTheme="majorEastAsia" w:eastAsiaTheme="majorEastAsia" w:hAnsiTheme="majorEastAsia" w:hint="eastAsia"/>
                <w:bCs/>
              </w:rPr>
              <w:t xml:space="preserve">　</w:t>
            </w:r>
            <w:r w:rsidRPr="00CF7942">
              <w:rPr>
                <w:rFonts w:asciiTheme="majorEastAsia" w:eastAsiaTheme="majorEastAsia" w:hAnsiTheme="majorEastAsia" w:hint="eastAsia"/>
                <w:bCs/>
              </w:rPr>
              <w:t>など</w:t>
            </w:r>
          </w:p>
          <w:p w14:paraId="41D6CDD5" w14:textId="0673ECED" w:rsidR="007E03E6" w:rsidRDefault="00574C1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7)</w:t>
            </w:r>
            <w:r w:rsidR="009D2399">
              <w:rPr>
                <w:rFonts w:asciiTheme="majorEastAsia" w:eastAsiaTheme="majorEastAsia" w:hAnsiTheme="majorEastAsia" w:hint="eastAsia"/>
                <w:bCs/>
              </w:rPr>
              <w:t>テレワーク導入にあたっての労働組合の取り組み</w:t>
            </w:r>
          </w:p>
          <w:p w14:paraId="332E59A1" w14:textId="1D3F3F15" w:rsidR="007E03E6" w:rsidRDefault="009D2399"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 xml:space="preserve">　</w:t>
            </w:r>
            <w:r w:rsidR="007139B1">
              <w:rPr>
                <w:rFonts w:asciiTheme="majorEastAsia" w:eastAsiaTheme="majorEastAsia" w:hAnsiTheme="majorEastAsia" w:hint="eastAsia"/>
                <w:bCs/>
              </w:rPr>
              <w:t>労使委員会等をつうじて検討を行い、</w:t>
            </w:r>
            <w:r w:rsidR="00862B62">
              <w:rPr>
                <w:rFonts w:asciiTheme="majorEastAsia" w:eastAsiaTheme="majorEastAsia" w:hAnsiTheme="majorEastAsia" w:hint="eastAsia"/>
                <w:bCs/>
              </w:rPr>
              <w:t>過重</w:t>
            </w:r>
            <w:r w:rsidR="007139B1">
              <w:rPr>
                <w:rFonts w:asciiTheme="majorEastAsia" w:eastAsiaTheme="majorEastAsia" w:hAnsiTheme="majorEastAsia" w:hint="eastAsia"/>
                <w:bCs/>
              </w:rPr>
              <w:t>労働など安全衛生面に配慮しつつ、職場実態に即した環境整備を促進</w:t>
            </w:r>
          </w:p>
          <w:p w14:paraId="3EB8097D" w14:textId="7AD56B50" w:rsidR="007E03E6" w:rsidRDefault="00574C1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8)</w:t>
            </w:r>
            <w:r w:rsidR="009D2399">
              <w:rPr>
                <w:rFonts w:asciiTheme="majorEastAsia" w:eastAsiaTheme="majorEastAsia" w:hAnsiTheme="majorEastAsia" w:hint="eastAsia"/>
                <w:bCs/>
              </w:rPr>
              <w:t>障がい者雇用に関する取り組み</w:t>
            </w:r>
          </w:p>
          <w:p w14:paraId="3CBA3006" w14:textId="636DB727" w:rsidR="007E03E6" w:rsidRPr="00574C11" w:rsidRDefault="007139B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 xml:space="preserve">　</w:t>
            </w:r>
            <w:r w:rsidR="00CA2157">
              <w:rPr>
                <w:rFonts w:asciiTheme="majorEastAsia" w:eastAsiaTheme="majorEastAsia" w:hAnsiTheme="majorEastAsia" w:hint="eastAsia"/>
                <w:bCs/>
              </w:rPr>
              <w:t>障がい者に対する差別</w:t>
            </w:r>
            <w:r w:rsidR="000B2B58">
              <w:rPr>
                <w:rFonts w:asciiTheme="majorEastAsia" w:eastAsiaTheme="majorEastAsia" w:hAnsiTheme="majorEastAsia" w:hint="eastAsia"/>
                <w:bCs/>
              </w:rPr>
              <w:t>や</w:t>
            </w:r>
            <w:r w:rsidR="00CA2157">
              <w:rPr>
                <w:rFonts w:asciiTheme="majorEastAsia" w:eastAsiaTheme="majorEastAsia" w:hAnsiTheme="majorEastAsia" w:hint="eastAsia"/>
                <w:bCs/>
              </w:rPr>
              <w:t>働きやすい環境への配慮等の職場実態の把握</w:t>
            </w:r>
            <w:r w:rsidR="000B2B58">
              <w:rPr>
                <w:rFonts w:asciiTheme="majorEastAsia" w:eastAsiaTheme="majorEastAsia" w:hAnsiTheme="majorEastAsia" w:hint="eastAsia"/>
                <w:bCs/>
              </w:rPr>
              <w:t>とともに、</w:t>
            </w:r>
            <w:r w:rsidR="00CA2157">
              <w:rPr>
                <w:rFonts w:asciiTheme="majorEastAsia" w:eastAsiaTheme="majorEastAsia" w:hAnsiTheme="majorEastAsia" w:hint="eastAsia"/>
                <w:bCs/>
              </w:rPr>
              <w:t>必要に応じて職場環境を改善</w:t>
            </w:r>
          </w:p>
          <w:p w14:paraId="6D937CD4" w14:textId="3E393651" w:rsidR="007E03E6" w:rsidRDefault="00574C1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9)</w:t>
            </w:r>
            <w:r w:rsidR="009D2399">
              <w:rPr>
                <w:rFonts w:asciiTheme="majorEastAsia" w:eastAsiaTheme="majorEastAsia" w:hAnsiTheme="majorEastAsia" w:hint="eastAsia"/>
                <w:bCs/>
              </w:rPr>
              <w:t>中小企業、有期・短時間・派遣等で働く労働者の退職給付制度の整備</w:t>
            </w:r>
          </w:p>
          <w:p w14:paraId="71B7BFA0" w14:textId="69BE74C5" w:rsidR="00961280" w:rsidRDefault="009D2399"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 xml:space="preserve">　</w:t>
            </w:r>
            <w:r w:rsidR="00961280">
              <w:rPr>
                <w:rFonts w:asciiTheme="majorEastAsia" w:eastAsiaTheme="majorEastAsia" w:hAnsiTheme="majorEastAsia" w:hint="eastAsia"/>
                <w:bCs/>
              </w:rPr>
              <w:t>①</w:t>
            </w:r>
            <w:r w:rsidR="00A11E8A" w:rsidRPr="00961280">
              <w:rPr>
                <w:rFonts w:asciiTheme="majorEastAsia" w:eastAsiaTheme="majorEastAsia" w:hAnsiTheme="majorEastAsia" w:hint="eastAsia"/>
                <w:bCs/>
              </w:rPr>
              <w:t>退職金制度の確立</w:t>
            </w:r>
          </w:p>
          <w:p w14:paraId="2589D00C" w14:textId="1B28073F" w:rsidR="00961280" w:rsidRDefault="00961280" w:rsidP="00961280">
            <w:pPr>
              <w:tabs>
                <w:tab w:val="left" w:pos="2268"/>
              </w:tabs>
              <w:snapToGrid w:val="0"/>
              <w:spacing w:line="260" w:lineRule="atLeast"/>
              <w:ind w:firstLineChars="100" w:firstLine="210"/>
              <w:rPr>
                <w:rFonts w:asciiTheme="majorEastAsia" w:eastAsiaTheme="majorEastAsia" w:hAnsiTheme="majorEastAsia"/>
                <w:bCs/>
              </w:rPr>
            </w:pPr>
            <w:r>
              <w:rPr>
                <w:rFonts w:asciiTheme="majorEastAsia" w:eastAsiaTheme="majorEastAsia" w:hAnsiTheme="majorEastAsia" w:hint="eastAsia"/>
                <w:bCs/>
              </w:rPr>
              <w:t>②退職金制度が</w:t>
            </w:r>
            <w:r w:rsidR="00A11E8A" w:rsidRPr="00961280">
              <w:rPr>
                <w:rFonts w:asciiTheme="majorEastAsia" w:eastAsiaTheme="majorEastAsia" w:hAnsiTheme="majorEastAsia" w:hint="eastAsia"/>
                <w:bCs/>
              </w:rPr>
              <w:t>確立されている組合は電力総連クリア基準</w:t>
            </w:r>
            <w:r w:rsidR="005E0AE1" w:rsidRPr="00961280">
              <w:rPr>
                <w:rFonts w:asciiTheme="majorEastAsia" w:eastAsiaTheme="majorEastAsia" w:hAnsiTheme="majorEastAsia" w:hint="eastAsia"/>
                <w:bCs/>
              </w:rPr>
              <w:t>｢</w:t>
            </w:r>
            <w:r w:rsidR="00A11E8A" w:rsidRPr="00961280">
              <w:rPr>
                <w:rFonts w:asciiTheme="majorEastAsia" w:eastAsiaTheme="majorEastAsia" w:hAnsiTheme="majorEastAsia" w:hint="eastAsia"/>
                <w:bCs/>
              </w:rPr>
              <w:t>1</w:t>
            </w:r>
            <w:r w:rsidR="00A11E8A" w:rsidRPr="00961280">
              <w:rPr>
                <w:rFonts w:asciiTheme="majorEastAsia" w:eastAsiaTheme="majorEastAsia" w:hAnsiTheme="majorEastAsia"/>
                <w:bCs/>
              </w:rPr>
              <w:t>,550</w:t>
            </w:r>
            <w:r w:rsidR="00A11E8A" w:rsidRPr="00961280">
              <w:rPr>
                <w:rFonts w:asciiTheme="majorEastAsia" w:eastAsiaTheme="majorEastAsia" w:hAnsiTheme="majorEastAsia" w:hint="eastAsia"/>
                <w:bCs/>
              </w:rPr>
              <w:t>万円以上</w:t>
            </w:r>
            <w:r w:rsidR="005E0AE1" w:rsidRPr="00961280">
              <w:rPr>
                <w:rFonts w:asciiTheme="majorEastAsia" w:eastAsiaTheme="majorEastAsia" w:hAnsiTheme="majorEastAsia" w:hint="eastAsia"/>
                <w:bCs/>
              </w:rPr>
              <w:t>｣</w:t>
            </w:r>
            <w:r w:rsidR="00A11E8A" w:rsidRPr="00961280">
              <w:rPr>
                <w:rFonts w:asciiTheme="majorEastAsia" w:eastAsiaTheme="majorEastAsia" w:hAnsiTheme="majorEastAsia" w:hint="eastAsia"/>
                <w:bCs/>
              </w:rPr>
              <w:t>の確保とさらなる充実に取り組む</w:t>
            </w:r>
          </w:p>
          <w:p w14:paraId="6151C345" w14:textId="6F23133B" w:rsidR="007E03E6" w:rsidRDefault="00574C1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10)</w:t>
            </w:r>
            <w:r w:rsidR="00A11E8A">
              <w:rPr>
                <w:rFonts w:asciiTheme="majorEastAsia" w:eastAsiaTheme="majorEastAsia" w:hAnsiTheme="majorEastAsia" w:hint="eastAsia"/>
                <w:bCs/>
              </w:rPr>
              <w:t>短時間労働者に対する社会保険の適用拡大に関する取り組み</w:t>
            </w:r>
          </w:p>
          <w:p w14:paraId="453D975C" w14:textId="4DF797FC" w:rsidR="007E03E6" w:rsidRDefault="00574C11" w:rsidP="001F06A1">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11)</w:t>
            </w:r>
            <w:r w:rsidR="00A11E8A">
              <w:rPr>
                <w:rFonts w:asciiTheme="majorEastAsia" w:eastAsiaTheme="majorEastAsia" w:hAnsiTheme="majorEastAsia" w:hint="eastAsia"/>
                <w:bCs/>
              </w:rPr>
              <w:t>治療と仕事の両立の推進に関する取り組み</w:t>
            </w:r>
          </w:p>
          <w:p w14:paraId="041AF1F6" w14:textId="06325E59" w:rsidR="007E03E6" w:rsidRDefault="00617BB2" w:rsidP="005B391E">
            <w:pPr>
              <w:tabs>
                <w:tab w:val="left" w:pos="2268"/>
              </w:tabs>
              <w:snapToGrid w:val="0"/>
              <w:spacing w:line="260" w:lineRule="atLeast"/>
              <w:ind w:left="210" w:hangingChars="100" w:hanging="210"/>
              <w:rPr>
                <w:rFonts w:asciiTheme="majorEastAsia" w:eastAsiaTheme="majorEastAsia" w:hAnsiTheme="majorEastAsia"/>
                <w:bCs/>
              </w:rPr>
            </w:pPr>
            <w:r>
              <w:rPr>
                <w:rFonts w:asciiTheme="majorEastAsia" w:eastAsiaTheme="majorEastAsia" w:hAnsiTheme="majorEastAsia" w:hint="eastAsia"/>
                <w:bCs/>
              </w:rPr>
              <w:t xml:space="preserve">　</w:t>
            </w:r>
            <w:r w:rsidR="00CA2157">
              <w:rPr>
                <w:rFonts w:asciiTheme="majorEastAsia" w:eastAsiaTheme="majorEastAsia" w:hAnsiTheme="majorEastAsia" w:hint="eastAsia"/>
                <w:bCs/>
              </w:rPr>
              <w:t>疾病を抱える労働者が適切な治療を受けながら働き続けられる環境整備、休業（休職）者の</w:t>
            </w:r>
            <w:r w:rsidR="00E22407">
              <w:rPr>
                <w:rFonts w:asciiTheme="majorEastAsia" w:eastAsiaTheme="majorEastAsia" w:hAnsiTheme="majorEastAsia" w:hint="eastAsia"/>
                <w:bCs/>
              </w:rPr>
              <w:t>職場復帰</w:t>
            </w:r>
            <w:r w:rsidR="00CA2157">
              <w:rPr>
                <w:rFonts w:asciiTheme="majorEastAsia" w:eastAsiaTheme="majorEastAsia" w:hAnsiTheme="majorEastAsia" w:hint="eastAsia"/>
                <w:bCs/>
              </w:rPr>
              <w:t>に向けた「職場復帰支援プラン」の策定や試し出社の導入、医療機関によるリワークプログラムの活用　など</w:t>
            </w:r>
          </w:p>
          <w:p w14:paraId="2AA7BA09" w14:textId="77777777" w:rsidR="00AC3403" w:rsidRPr="005B391E" w:rsidRDefault="00AC3403" w:rsidP="005B391E">
            <w:pPr>
              <w:tabs>
                <w:tab w:val="left" w:pos="2268"/>
              </w:tabs>
              <w:snapToGrid w:val="0"/>
              <w:spacing w:line="260" w:lineRule="atLeast"/>
              <w:ind w:left="210" w:hangingChars="100" w:hanging="210"/>
              <w:rPr>
                <w:rFonts w:asciiTheme="majorEastAsia" w:eastAsiaTheme="majorEastAsia" w:hAnsiTheme="majorEastAsia"/>
                <w:bCs/>
              </w:rPr>
            </w:pPr>
          </w:p>
          <w:p w14:paraId="76EFCDEA" w14:textId="68BBB72F" w:rsidR="009F3CF3" w:rsidRDefault="00FF2201" w:rsidP="001F06A1">
            <w:pPr>
              <w:tabs>
                <w:tab w:val="left" w:pos="2268"/>
              </w:tabs>
              <w:snapToGrid w:val="0"/>
              <w:spacing w:line="260" w:lineRule="atLeast"/>
              <w:rPr>
                <w:rFonts w:asciiTheme="majorEastAsia" w:eastAsiaTheme="majorEastAsia" w:hAnsiTheme="majorEastAsia"/>
                <w:b/>
              </w:rPr>
            </w:pPr>
            <w:r>
              <w:rPr>
                <w:rFonts w:asciiTheme="majorEastAsia" w:eastAsiaTheme="majorEastAsia" w:hAnsiTheme="majorEastAsia" w:hint="eastAsia"/>
                <w:b/>
              </w:rPr>
              <w:t>【</w:t>
            </w:r>
            <w:r w:rsidR="007E03E6">
              <w:rPr>
                <w:rFonts w:asciiTheme="majorEastAsia" w:eastAsiaTheme="majorEastAsia" w:hAnsiTheme="majorEastAsia" w:hint="eastAsia"/>
                <w:b/>
              </w:rPr>
              <w:t>ジェンダー平等・多様性の推進</w:t>
            </w:r>
            <w:r>
              <w:rPr>
                <w:rFonts w:asciiTheme="majorEastAsia" w:eastAsiaTheme="majorEastAsia" w:hAnsiTheme="majorEastAsia" w:hint="eastAsia"/>
                <w:b/>
              </w:rPr>
              <w:t>】</w:t>
            </w:r>
          </w:p>
          <w:p w14:paraId="0F3C5D72" w14:textId="5FE15AB5" w:rsidR="00E91E5A" w:rsidRDefault="00574C11" w:rsidP="00B30D7D">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1)</w:t>
            </w:r>
            <w:r w:rsidR="00DA6BBD">
              <w:rPr>
                <w:rFonts w:asciiTheme="majorEastAsia" w:eastAsiaTheme="majorEastAsia" w:hAnsiTheme="majorEastAsia" w:hint="eastAsia"/>
                <w:bCs/>
              </w:rPr>
              <w:t>女性活躍推進法および男女雇用機会均等法の周知徹底と点検活動</w:t>
            </w:r>
          </w:p>
          <w:p w14:paraId="6361B542" w14:textId="49129E84" w:rsidR="00E91E5A" w:rsidRDefault="00E91E5A" w:rsidP="00B30D7D">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 xml:space="preserve">　｢えるぼし・プラチナえるぼし｣制度の認定取得に向けた取り組みを通じた環境整備　など</w:t>
            </w:r>
          </w:p>
          <w:p w14:paraId="575AEAC8" w14:textId="34E81BFD" w:rsidR="007E03E6" w:rsidRDefault="00574C11" w:rsidP="00B30D7D">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2)</w:t>
            </w:r>
            <w:r w:rsidR="00DA6BBD">
              <w:rPr>
                <w:rFonts w:asciiTheme="majorEastAsia" w:eastAsiaTheme="majorEastAsia" w:hAnsiTheme="majorEastAsia" w:hint="eastAsia"/>
                <w:bCs/>
              </w:rPr>
              <w:t>あらゆるハラスメント対策と差別禁止の取り組み</w:t>
            </w:r>
          </w:p>
          <w:p w14:paraId="20683907" w14:textId="3D099069" w:rsidR="007E03E6" w:rsidRDefault="00574C11" w:rsidP="00B30D7D">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3)</w:t>
            </w:r>
            <w:r w:rsidR="00624964">
              <w:rPr>
                <w:rFonts w:asciiTheme="majorEastAsia" w:eastAsiaTheme="majorEastAsia" w:hAnsiTheme="majorEastAsia" w:hint="eastAsia"/>
                <w:bCs/>
              </w:rPr>
              <w:t>育児や介護と仕事の両立に向けた環境整備</w:t>
            </w:r>
          </w:p>
          <w:p w14:paraId="7F2E6CE7" w14:textId="77777777" w:rsidR="009734A2" w:rsidRDefault="00A038F4" w:rsidP="00665E34">
            <w:pPr>
              <w:tabs>
                <w:tab w:val="left" w:pos="2268"/>
              </w:tabs>
              <w:snapToGrid w:val="0"/>
              <w:spacing w:line="260" w:lineRule="atLeast"/>
              <w:ind w:left="315" w:hangingChars="150" w:hanging="315"/>
              <w:rPr>
                <w:rFonts w:asciiTheme="majorEastAsia" w:eastAsiaTheme="majorEastAsia" w:hAnsiTheme="majorEastAsia"/>
                <w:bCs/>
              </w:rPr>
            </w:pPr>
            <w:r>
              <w:rPr>
                <w:rFonts w:asciiTheme="majorEastAsia" w:eastAsiaTheme="majorEastAsia" w:hAnsiTheme="majorEastAsia" w:hint="eastAsia"/>
                <w:bCs/>
              </w:rPr>
              <w:t xml:space="preserve">　育児休業を取得できる子の年齢を3歳</w:t>
            </w:r>
            <w:r w:rsidR="00E22407">
              <w:rPr>
                <w:rFonts w:asciiTheme="majorEastAsia" w:eastAsiaTheme="majorEastAsia" w:hAnsiTheme="majorEastAsia" w:hint="eastAsia"/>
                <w:bCs/>
              </w:rPr>
              <w:t>の</w:t>
            </w:r>
            <w:r>
              <w:rPr>
                <w:rFonts w:asciiTheme="majorEastAsia" w:eastAsiaTheme="majorEastAsia" w:hAnsiTheme="majorEastAsia" w:hint="eastAsia"/>
                <w:bCs/>
              </w:rPr>
              <w:t>年度末まで延長、</w:t>
            </w:r>
            <w:r w:rsidR="0080053F">
              <w:rPr>
                <w:rFonts w:asciiTheme="majorEastAsia" w:eastAsiaTheme="majorEastAsia" w:hAnsiTheme="majorEastAsia" w:hint="eastAsia"/>
                <w:bCs/>
              </w:rPr>
              <w:t>子の看護</w:t>
            </w:r>
            <w:r w:rsidR="00665E34">
              <w:rPr>
                <w:rFonts w:asciiTheme="majorEastAsia" w:eastAsiaTheme="majorEastAsia" w:hAnsiTheme="majorEastAsia" w:hint="eastAsia"/>
                <w:bCs/>
              </w:rPr>
              <w:t>等</w:t>
            </w:r>
            <w:r w:rsidR="0080053F">
              <w:rPr>
                <w:rFonts w:asciiTheme="majorEastAsia" w:eastAsiaTheme="majorEastAsia" w:hAnsiTheme="majorEastAsia" w:hint="eastAsia"/>
                <w:bCs/>
              </w:rPr>
              <w:t>休暇における制度の実効性向上・拡充、時間</w:t>
            </w:r>
          </w:p>
          <w:p w14:paraId="20BF953A" w14:textId="1967339C" w:rsidR="00624964" w:rsidRPr="00A038F4" w:rsidRDefault="0080053F" w:rsidP="009734A2">
            <w:pPr>
              <w:tabs>
                <w:tab w:val="left" w:pos="2268"/>
              </w:tabs>
              <w:snapToGrid w:val="0"/>
              <w:spacing w:line="260" w:lineRule="atLeast"/>
              <w:ind w:leftChars="100" w:left="315" w:hangingChars="50" w:hanging="105"/>
              <w:rPr>
                <w:rFonts w:asciiTheme="majorEastAsia" w:eastAsiaTheme="majorEastAsia" w:hAnsiTheme="majorEastAsia"/>
                <w:bCs/>
              </w:rPr>
            </w:pPr>
            <w:r>
              <w:rPr>
                <w:rFonts w:asciiTheme="majorEastAsia" w:eastAsiaTheme="majorEastAsia" w:hAnsiTheme="majorEastAsia" w:hint="eastAsia"/>
                <w:bCs/>
              </w:rPr>
              <w:t>単位</w:t>
            </w:r>
            <w:r w:rsidR="009734A2">
              <w:rPr>
                <w:rFonts w:asciiTheme="majorEastAsia" w:eastAsiaTheme="majorEastAsia" w:hAnsiTheme="majorEastAsia" w:hint="eastAsia"/>
                <w:bCs/>
              </w:rPr>
              <w:t>休暇</w:t>
            </w:r>
            <w:r>
              <w:rPr>
                <w:rFonts w:asciiTheme="majorEastAsia" w:eastAsiaTheme="majorEastAsia" w:hAnsiTheme="majorEastAsia" w:hint="eastAsia"/>
                <w:bCs/>
              </w:rPr>
              <w:t>における労働時間の途中での取得、事務所内託児所の設置　など</w:t>
            </w:r>
          </w:p>
          <w:p w14:paraId="724307FD" w14:textId="51B7D2EF" w:rsidR="00624964" w:rsidRDefault="00574C11" w:rsidP="00B30D7D">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w:t>
            </w:r>
            <w:r>
              <w:rPr>
                <w:rFonts w:asciiTheme="majorEastAsia" w:eastAsiaTheme="majorEastAsia" w:hAnsiTheme="majorEastAsia"/>
                <w:bCs/>
              </w:rPr>
              <w:t>4)</w:t>
            </w:r>
            <w:r w:rsidR="00624964">
              <w:rPr>
                <w:rFonts w:asciiTheme="majorEastAsia" w:eastAsiaTheme="majorEastAsia" w:hAnsiTheme="majorEastAsia" w:hint="eastAsia"/>
                <w:bCs/>
              </w:rPr>
              <w:t>次世代育成支援</w:t>
            </w:r>
            <w:r w:rsidR="005E0AE1">
              <w:rPr>
                <w:rFonts w:asciiTheme="majorEastAsia" w:eastAsiaTheme="majorEastAsia" w:hAnsiTheme="majorEastAsia" w:hint="eastAsia"/>
                <w:bCs/>
              </w:rPr>
              <w:t>対策推進法にもとづく取り組みの推進</w:t>
            </w:r>
          </w:p>
          <w:p w14:paraId="29DC8227" w14:textId="26722DEB" w:rsidR="00A82162" w:rsidRPr="00AC3403" w:rsidRDefault="0080053F" w:rsidP="00AC3403">
            <w:pPr>
              <w:tabs>
                <w:tab w:val="left" w:pos="2268"/>
              </w:tabs>
              <w:snapToGrid w:val="0"/>
              <w:spacing w:line="260" w:lineRule="atLeast"/>
              <w:rPr>
                <w:rFonts w:asciiTheme="majorEastAsia" w:eastAsiaTheme="majorEastAsia" w:hAnsiTheme="majorEastAsia"/>
                <w:bCs/>
              </w:rPr>
            </w:pPr>
            <w:r>
              <w:rPr>
                <w:rFonts w:asciiTheme="majorEastAsia" w:eastAsiaTheme="majorEastAsia" w:hAnsiTheme="majorEastAsia" w:hint="eastAsia"/>
                <w:bCs/>
              </w:rPr>
              <w:t xml:space="preserve">　</w:t>
            </w:r>
            <w:r w:rsidR="00B24F49">
              <w:rPr>
                <w:rFonts w:asciiTheme="majorEastAsia" w:eastAsiaTheme="majorEastAsia" w:hAnsiTheme="majorEastAsia" w:hint="eastAsia"/>
                <w:bCs/>
              </w:rPr>
              <w:t>行動計画の実施状況</w:t>
            </w:r>
            <w:r w:rsidR="00652F3A">
              <w:rPr>
                <w:rFonts w:asciiTheme="majorEastAsia" w:eastAsiaTheme="majorEastAsia" w:hAnsiTheme="majorEastAsia" w:hint="eastAsia"/>
                <w:bCs/>
              </w:rPr>
              <w:t>における</w:t>
            </w:r>
            <w:r w:rsidR="00B24F49">
              <w:rPr>
                <w:rFonts w:asciiTheme="majorEastAsia" w:eastAsiaTheme="majorEastAsia" w:hAnsiTheme="majorEastAsia" w:hint="eastAsia"/>
                <w:bCs/>
              </w:rPr>
              <w:t>点検・フォロー・職場実態に即した更新　など</w:t>
            </w:r>
          </w:p>
        </w:tc>
      </w:tr>
      <w:tr w:rsidR="00580D76" w:rsidRPr="00D74D51" w14:paraId="504FDF3B" w14:textId="77777777" w:rsidTr="00A038F4">
        <w:trPr>
          <w:cantSplit/>
          <w:trHeight w:val="986"/>
        </w:trPr>
        <w:tc>
          <w:tcPr>
            <w:tcW w:w="611" w:type="dxa"/>
            <w:vMerge w:val="restart"/>
            <w:tcBorders>
              <w:left w:val="single" w:sz="12" w:space="0" w:color="auto"/>
            </w:tcBorders>
            <w:textDirection w:val="tbRlV"/>
            <w:vAlign w:val="center"/>
          </w:tcPr>
          <w:p w14:paraId="5F545AEA" w14:textId="024AB594" w:rsidR="00580D76" w:rsidRPr="006C7FE9"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一時金関連</w:t>
            </w:r>
          </w:p>
        </w:tc>
        <w:tc>
          <w:tcPr>
            <w:tcW w:w="1398" w:type="dxa"/>
            <w:vAlign w:val="center"/>
          </w:tcPr>
          <w:p w14:paraId="4230ACE2" w14:textId="77777777" w:rsidR="00580D76" w:rsidRPr="006C7FE9" w:rsidRDefault="00580D76" w:rsidP="00B54558">
            <w:pPr>
              <w:tabs>
                <w:tab w:val="left" w:pos="2268"/>
              </w:tabs>
              <w:snapToGrid w:val="0"/>
              <w:spacing w:line="240" w:lineRule="exact"/>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9213" w:type="dxa"/>
          </w:tcPr>
          <w:p w14:paraId="226B04CC" w14:textId="77777777" w:rsidR="00C664AD" w:rsidRDefault="00B54558" w:rsidP="00CE4428">
            <w:pPr>
              <w:tabs>
                <w:tab w:val="left" w:pos="2268"/>
              </w:tabs>
              <w:snapToGrid w:val="0"/>
              <w:spacing w:line="300" w:lineRule="atLeast"/>
              <w:jc w:val="left"/>
              <w:rPr>
                <w:rFonts w:asciiTheme="majorEastAsia" w:eastAsiaTheme="majorEastAsia" w:hAnsiTheme="majorEastAsia"/>
              </w:rPr>
            </w:pPr>
            <w:r w:rsidRPr="00C812AF">
              <w:rPr>
                <w:rFonts w:asciiTheme="majorEastAsia" w:eastAsiaTheme="majorEastAsia" w:hAnsiTheme="majorEastAsia" w:hint="eastAsia"/>
              </w:rPr>
              <w:t>年間4ヵ月を</w:t>
            </w:r>
            <w:r w:rsidR="00144ADB" w:rsidRPr="00C812AF">
              <w:rPr>
                <w:rFonts w:asciiTheme="majorEastAsia" w:eastAsiaTheme="majorEastAsia" w:hAnsiTheme="majorEastAsia" w:hint="eastAsia"/>
              </w:rPr>
              <w:t>ベース</w:t>
            </w:r>
            <w:r w:rsidRPr="00C812AF">
              <w:rPr>
                <w:rFonts w:asciiTheme="majorEastAsia" w:eastAsiaTheme="majorEastAsia" w:hAnsiTheme="majorEastAsia" w:hint="eastAsia"/>
              </w:rPr>
              <w:t>とし、</w:t>
            </w:r>
            <w:r w:rsidR="00F32055" w:rsidRPr="00C812AF">
              <w:rPr>
                <w:rFonts w:asciiTheme="majorEastAsia" w:eastAsiaTheme="majorEastAsia" w:hAnsiTheme="majorEastAsia" w:hint="eastAsia"/>
              </w:rPr>
              <w:t>職場実態や組合員の貢献・努力、過去の妥結実績、</w:t>
            </w:r>
            <w:r w:rsidR="00DF32AE" w:rsidRPr="00C812AF">
              <w:rPr>
                <w:rFonts w:asciiTheme="majorEastAsia" w:eastAsiaTheme="majorEastAsia" w:hAnsiTheme="majorEastAsia" w:hint="eastAsia"/>
              </w:rPr>
              <w:t>社会情勢などをふまえ、4ヵ月に上積みをはかった要求を行う。</w:t>
            </w:r>
          </w:p>
          <w:p w14:paraId="6AA4AAA1" w14:textId="77777777" w:rsidR="00A81873" w:rsidRDefault="00A81873" w:rsidP="00CE4428">
            <w:pPr>
              <w:tabs>
                <w:tab w:val="left" w:pos="2268"/>
              </w:tabs>
              <w:snapToGrid w:val="0"/>
              <w:spacing w:line="300" w:lineRule="atLeast"/>
              <w:jc w:val="left"/>
              <w:rPr>
                <w:rFonts w:asciiTheme="majorEastAsia" w:eastAsiaTheme="majorEastAsia" w:hAnsiTheme="majorEastAsia"/>
              </w:rPr>
            </w:pPr>
          </w:p>
          <w:p w14:paraId="606526D4" w14:textId="7EA3BD5E" w:rsidR="00A81873" w:rsidRPr="002F1B58" w:rsidRDefault="00A81873" w:rsidP="00CE4428">
            <w:pPr>
              <w:tabs>
                <w:tab w:val="left" w:pos="2268"/>
              </w:tabs>
              <w:snapToGrid w:val="0"/>
              <w:spacing w:line="300" w:lineRule="atLeast"/>
              <w:jc w:val="left"/>
              <w:rPr>
                <w:rFonts w:asciiTheme="majorEastAsia" w:eastAsiaTheme="majorEastAsia" w:hAnsiTheme="majorEastAsia"/>
              </w:rPr>
            </w:pPr>
          </w:p>
        </w:tc>
        <w:tc>
          <w:tcPr>
            <w:tcW w:w="11106" w:type="dxa"/>
            <w:vMerge/>
            <w:tcBorders>
              <w:right w:val="single" w:sz="12" w:space="0" w:color="auto"/>
            </w:tcBorders>
          </w:tcPr>
          <w:p w14:paraId="238F6CDB"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r w:rsidR="00580D76" w:rsidRPr="00D74D51" w14:paraId="07D1701E" w14:textId="77777777" w:rsidTr="00A038F4">
        <w:trPr>
          <w:cantSplit/>
          <w:trHeight w:val="982"/>
        </w:trPr>
        <w:tc>
          <w:tcPr>
            <w:tcW w:w="611" w:type="dxa"/>
            <w:vMerge/>
            <w:tcBorders>
              <w:left w:val="single" w:sz="12" w:space="0" w:color="auto"/>
              <w:bottom w:val="single" w:sz="12" w:space="0" w:color="auto"/>
            </w:tcBorders>
            <w:textDirection w:val="tbRlV"/>
            <w:vAlign w:val="center"/>
          </w:tcPr>
          <w:p w14:paraId="2333B3D3" w14:textId="77777777" w:rsidR="00580D76" w:rsidRPr="00D74D51" w:rsidRDefault="00580D76" w:rsidP="00374080">
            <w:pPr>
              <w:tabs>
                <w:tab w:val="left" w:pos="2268"/>
              </w:tabs>
              <w:snapToGrid w:val="0"/>
              <w:spacing w:line="300" w:lineRule="atLeast"/>
              <w:ind w:left="113" w:right="113"/>
              <w:jc w:val="center"/>
              <w:rPr>
                <w:rFonts w:asciiTheme="majorEastAsia" w:eastAsiaTheme="majorEastAsia" w:hAnsiTheme="majorEastAsia"/>
              </w:rPr>
            </w:pPr>
          </w:p>
        </w:tc>
        <w:tc>
          <w:tcPr>
            <w:tcW w:w="1398" w:type="dxa"/>
            <w:tcBorders>
              <w:bottom w:val="single" w:sz="12" w:space="0" w:color="auto"/>
            </w:tcBorders>
            <w:vAlign w:val="center"/>
          </w:tcPr>
          <w:p w14:paraId="118673E1" w14:textId="77777777" w:rsidR="00580D76" w:rsidRPr="006C7FE9" w:rsidRDefault="00580D76" w:rsidP="00B54558">
            <w:pPr>
              <w:tabs>
                <w:tab w:val="left" w:pos="2268"/>
              </w:tabs>
              <w:snapToGrid w:val="0"/>
              <w:spacing w:line="240" w:lineRule="exact"/>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9213" w:type="dxa"/>
            <w:tcBorders>
              <w:bottom w:val="single" w:sz="12" w:space="0" w:color="auto"/>
            </w:tcBorders>
            <w:shd w:val="clear" w:color="auto" w:fill="auto"/>
          </w:tcPr>
          <w:p w14:paraId="132B7A3D" w14:textId="77777777" w:rsidR="009E6E79" w:rsidRDefault="009E6E79" w:rsidP="00CE4428">
            <w:pPr>
              <w:tabs>
                <w:tab w:val="left" w:pos="2268"/>
              </w:tabs>
              <w:snapToGrid w:val="0"/>
              <w:spacing w:line="300" w:lineRule="atLeast"/>
              <w:jc w:val="left"/>
              <w:rPr>
                <w:rFonts w:asciiTheme="majorEastAsia" w:eastAsiaTheme="majorEastAsia" w:hAnsiTheme="majorEastAsia"/>
              </w:rPr>
            </w:pPr>
          </w:p>
          <w:p w14:paraId="34EE8FC0" w14:textId="491DB166" w:rsidR="00580D76" w:rsidRPr="009D52C4" w:rsidRDefault="0038551F" w:rsidP="00CE4428">
            <w:pPr>
              <w:tabs>
                <w:tab w:val="left" w:pos="2268"/>
              </w:tabs>
              <w:snapToGrid w:val="0"/>
              <w:spacing w:line="300" w:lineRule="atLeast"/>
              <w:jc w:val="left"/>
              <w:rPr>
                <w:rFonts w:asciiTheme="majorEastAsia" w:eastAsiaTheme="majorEastAsia" w:hAnsiTheme="majorEastAsia"/>
                <w:color w:val="FF0000"/>
              </w:rPr>
            </w:pPr>
            <w:r w:rsidRPr="005A369B">
              <w:rPr>
                <w:rFonts w:asciiTheme="majorEastAsia" w:eastAsiaTheme="majorEastAsia" w:hAnsiTheme="majorEastAsia" w:hint="eastAsia"/>
              </w:rPr>
              <w:t>―</w:t>
            </w:r>
          </w:p>
        </w:tc>
        <w:tc>
          <w:tcPr>
            <w:tcW w:w="11106" w:type="dxa"/>
            <w:vMerge/>
            <w:tcBorders>
              <w:bottom w:val="single" w:sz="12" w:space="0" w:color="auto"/>
              <w:right w:val="single" w:sz="12" w:space="0" w:color="auto"/>
            </w:tcBorders>
          </w:tcPr>
          <w:p w14:paraId="3F0D99C8"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bl>
    <w:p w14:paraId="4F0A2404" w14:textId="77777777" w:rsidR="00580D76" w:rsidRPr="00D74D51" w:rsidRDefault="00580D76" w:rsidP="00580D76">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580D76" w:rsidRPr="00D74D51"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EC5BA2" w:rsidRPr="00D74D51" w14:paraId="54D0ABC5" w14:textId="77777777" w:rsidTr="00F039C4">
        <w:trPr>
          <w:trHeight w:val="419"/>
        </w:trPr>
        <w:tc>
          <w:tcPr>
            <w:tcW w:w="1514" w:type="dxa"/>
            <w:tcBorders>
              <w:top w:val="double" w:sz="4" w:space="0" w:color="auto"/>
              <w:left w:val="single" w:sz="12" w:space="0" w:color="auto"/>
            </w:tcBorders>
            <w:vAlign w:val="center"/>
          </w:tcPr>
          <w:p w14:paraId="55F23E0B"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190" w:type="dxa"/>
            <w:tcBorders>
              <w:top w:val="double" w:sz="4" w:space="0" w:color="auto"/>
            </w:tcBorders>
          </w:tcPr>
          <w:p w14:paraId="49432082" w14:textId="1214A6CB" w:rsidR="00EC5BA2" w:rsidRPr="005A369B" w:rsidRDefault="00B54558" w:rsidP="0038551F">
            <w:pPr>
              <w:tabs>
                <w:tab w:val="left" w:pos="2268"/>
              </w:tabs>
              <w:snapToGrid w:val="0"/>
              <w:spacing w:line="420" w:lineRule="atLeast"/>
              <w:ind w:left="420" w:hangingChars="200" w:hanging="420"/>
              <w:rPr>
                <w:rFonts w:asciiTheme="majorEastAsia" w:eastAsiaTheme="majorEastAsia" w:hAnsiTheme="majorEastAsia"/>
              </w:rPr>
            </w:pPr>
            <w:r w:rsidRPr="005B0CF1">
              <w:rPr>
                <w:rFonts w:asciiTheme="majorEastAsia" w:eastAsiaTheme="majorEastAsia" w:hAnsiTheme="majorEastAsia" w:hint="eastAsia"/>
              </w:rPr>
              <w:t>2月</w:t>
            </w:r>
            <w:r w:rsidRPr="003E6DA7">
              <w:rPr>
                <w:rFonts w:asciiTheme="majorEastAsia" w:eastAsiaTheme="majorEastAsia" w:hAnsiTheme="majorEastAsia" w:hint="eastAsia"/>
              </w:rPr>
              <w:t>1</w:t>
            </w:r>
            <w:r w:rsidR="00FF35E3">
              <w:rPr>
                <w:rFonts w:asciiTheme="majorEastAsia" w:eastAsiaTheme="majorEastAsia" w:hAnsiTheme="majorEastAsia" w:hint="eastAsia"/>
              </w:rPr>
              <w:t>8</w:t>
            </w:r>
            <w:r w:rsidRPr="003E6DA7">
              <w:rPr>
                <w:rFonts w:asciiTheme="majorEastAsia" w:eastAsiaTheme="majorEastAsia" w:hAnsiTheme="majorEastAsia" w:hint="eastAsia"/>
              </w:rPr>
              <w:t>日</w:t>
            </w:r>
          </w:p>
        </w:tc>
        <w:tc>
          <w:tcPr>
            <w:tcW w:w="7708" w:type="dxa"/>
            <w:tcBorders>
              <w:top w:val="double" w:sz="4" w:space="0" w:color="auto"/>
            </w:tcBorders>
          </w:tcPr>
          <w:p w14:paraId="395860F9" w14:textId="3B89AC97" w:rsidR="00EC5BA2" w:rsidRPr="005A369B" w:rsidRDefault="00B54558" w:rsidP="00A63B17">
            <w:pPr>
              <w:tabs>
                <w:tab w:val="left" w:pos="2268"/>
              </w:tabs>
              <w:snapToGrid w:val="0"/>
              <w:spacing w:line="300" w:lineRule="atLeast"/>
              <w:rPr>
                <w:rFonts w:asciiTheme="majorEastAsia" w:eastAsiaTheme="majorEastAsia" w:hAnsiTheme="majorEastAsia"/>
              </w:rPr>
            </w:pPr>
            <w:r w:rsidRPr="008D4A7A">
              <w:rPr>
                <w:rFonts w:asciiTheme="majorEastAsia" w:eastAsiaTheme="majorEastAsia" w:hAnsiTheme="majorEastAsia" w:hint="eastAsia"/>
              </w:rPr>
              <w:t>交渉のヤマ場は、連合の解決促進ゾーンを</w:t>
            </w:r>
            <w:r w:rsidR="001D26B1" w:rsidRPr="008D4A7A">
              <w:rPr>
                <w:rFonts w:asciiTheme="majorEastAsia" w:eastAsiaTheme="majorEastAsia" w:hAnsiTheme="majorEastAsia" w:hint="eastAsia"/>
              </w:rPr>
              <w:t>ふ</w:t>
            </w:r>
            <w:r w:rsidRPr="008D4A7A">
              <w:rPr>
                <w:rFonts w:asciiTheme="majorEastAsia" w:eastAsiaTheme="majorEastAsia" w:hAnsiTheme="majorEastAsia" w:hint="eastAsia"/>
              </w:rPr>
              <w:t>まえ設定することとし、遅くとも</w:t>
            </w:r>
            <w:r w:rsidR="001F06A1" w:rsidRPr="008D4A7A">
              <w:rPr>
                <w:rFonts w:asciiTheme="majorEastAsia" w:eastAsiaTheme="majorEastAsia" w:hAnsiTheme="majorEastAsia" w:hint="eastAsia"/>
              </w:rPr>
              <w:t>3</w:t>
            </w:r>
            <w:r w:rsidRPr="008D4A7A">
              <w:rPr>
                <w:rFonts w:asciiTheme="majorEastAsia" w:eastAsiaTheme="majorEastAsia" w:hAnsiTheme="majorEastAsia" w:hint="eastAsia"/>
              </w:rPr>
              <w:t>月末までの解決を目指す。</w:t>
            </w:r>
          </w:p>
        </w:tc>
        <w:tc>
          <w:tcPr>
            <w:tcW w:w="7914" w:type="dxa"/>
            <w:tcBorders>
              <w:top w:val="double" w:sz="4" w:space="0" w:color="auto"/>
              <w:right w:val="single" w:sz="12" w:space="0" w:color="auto"/>
            </w:tcBorders>
          </w:tcPr>
          <w:p w14:paraId="0E8D10F8" w14:textId="355F0DF7" w:rsidR="00EC5BA2" w:rsidRPr="005A369B" w:rsidRDefault="002040CF" w:rsidP="002040CF">
            <w:pPr>
              <w:tabs>
                <w:tab w:val="left" w:pos="2268"/>
              </w:tabs>
              <w:snapToGrid w:val="0"/>
              <w:spacing w:line="400" w:lineRule="exac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Pr="00EC5BA2">
              <w:rPr>
                <w:rFonts w:asciiTheme="majorEastAsia" w:eastAsiaTheme="majorEastAsia" w:hAnsiTheme="majorEastAsia" w:hint="eastAsia"/>
              </w:rPr>
              <w:t>―</w:t>
            </w:r>
          </w:p>
        </w:tc>
      </w:tr>
      <w:tr w:rsidR="00EC5BA2" w:rsidRPr="00D74D51" w14:paraId="63A9A2EA" w14:textId="77777777" w:rsidTr="00891BAA">
        <w:trPr>
          <w:trHeight w:val="415"/>
        </w:trPr>
        <w:tc>
          <w:tcPr>
            <w:tcW w:w="1514" w:type="dxa"/>
            <w:tcBorders>
              <w:left w:val="single" w:sz="12" w:space="0" w:color="auto"/>
            </w:tcBorders>
            <w:vAlign w:val="center"/>
          </w:tcPr>
          <w:p w14:paraId="645A8ED0"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90" w:type="dxa"/>
          </w:tcPr>
          <w:p w14:paraId="0125B123"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708" w:type="dxa"/>
          </w:tcPr>
          <w:p w14:paraId="1E092A96"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914" w:type="dxa"/>
            <w:tcBorders>
              <w:right w:val="single" w:sz="12" w:space="0" w:color="auto"/>
            </w:tcBorders>
          </w:tcPr>
          <w:p w14:paraId="60B39009" w14:textId="77777777" w:rsidR="00EC5BA2" w:rsidRPr="00D74D51"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r w:rsidR="00EC5BA2" w:rsidRPr="00100AB1"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08" w:type="dxa"/>
            <w:tcBorders>
              <w:bottom w:val="single" w:sz="12" w:space="0" w:color="auto"/>
            </w:tcBorders>
          </w:tcPr>
          <w:p w14:paraId="17E6745B"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bottom w:val="single" w:sz="12" w:space="0" w:color="auto"/>
              <w:right w:val="single" w:sz="12" w:space="0" w:color="auto"/>
            </w:tcBorders>
          </w:tcPr>
          <w:p w14:paraId="7F0A7489"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643457CB" w14:textId="77777777" w:rsidR="00D33CCA" w:rsidRPr="00D33CCA"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718FDF5" w14:textId="77777777"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580D76" w:rsidSect="00361623">
      <w:headerReference w:type="default" r:id="rId8"/>
      <w:pgSz w:w="23814" w:h="16840" w:orient="landscape" w:code="8"/>
      <w:pgMar w:top="1134"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EE1B" w14:textId="77777777" w:rsidR="00C26FA5" w:rsidRDefault="00C26FA5" w:rsidP="00AC3A4F">
      <w:r>
        <w:separator/>
      </w:r>
    </w:p>
  </w:endnote>
  <w:endnote w:type="continuationSeparator" w:id="0">
    <w:p w14:paraId="04545B8D" w14:textId="77777777" w:rsidR="00C26FA5" w:rsidRDefault="00C26FA5"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E3CE" w14:textId="77777777" w:rsidR="00C26FA5" w:rsidRDefault="00C26FA5" w:rsidP="00AC3A4F">
      <w:r>
        <w:separator/>
      </w:r>
    </w:p>
  </w:footnote>
  <w:footnote w:type="continuationSeparator" w:id="0">
    <w:p w14:paraId="63123F69" w14:textId="77777777" w:rsidR="00C26FA5" w:rsidRDefault="00C26FA5"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6D8B2C94" w:rsidR="00894427" w:rsidRPr="00E60F29" w:rsidRDefault="00204DF8" w:rsidP="000C48DB">
    <w:pPr>
      <w:pStyle w:val="a4"/>
      <w:jc w:val="center"/>
      <w:rPr>
        <w:rFonts w:asciiTheme="majorEastAsia" w:eastAsiaTheme="majorEastAsia" w:hAnsiTheme="majorEastAsia"/>
        <w:color w:val="000000" w:themeColor="text1"/>
        <w:sz w:val="36"/>
        <w:szCs w:val="36"/>
      </w:rPr>
    </w:pPr>
    <w:r w:rsidRPr="00BF106D">
      <w:rPr>
        <w:rFonts w:asciiTheme="majorEastAsia" w:eastAsiaTheme="majorEastAsia" w:hAnsiTheme="majorEastAsia" w:hint="eastAsia"/>
        <w:sz w:val="36"/>
        <w:szCs w:val="36"/>
      </w:rPr>
      <w:t>202</w:t>
    </w:r>
    <w:r w:rsidR="004F54CE" w:rsidRPr="00BF106D">
      <w:rPr>
        <w:rFonts w:asciiTheme="majorEastAsia" w:eastAsiaTheme="majorEastAsia" w:hAnsiTheme="majorEastAsia" w:hint="eastAsia"/>
        <w:sz w:val="36"/>
        <w:szCs w:val="36"/>
      </w:rPr>
      <w:t>6</w:t>
    </w:r>
    <w:r w:rsidR="004C3759" w:rsidRPr="00E60F29">
      <w:rPr>
        <w:rFonts w:asciiTheme="majorEastAsia" w:eastAsiaTheme="majorEastAsia" w:hAnsiTheme="majorEastAsia" w:hint="eastAsia"/>
        <w:color w:val="000000" w:themeColor="text1"/>
        <w:sz w:val="36"/>
        <w:szCs w:val="36"/>
      </w:rPr>
      <w:t xml:space="preserve">年　</w:t>
    </w:r>
    <w:r w:rsidR="00292DF3">
      <w:rPr>
        <w:rFonts w:asciiTheme="majorEastAsia" w:eastAsiaTheme="majorEastAsia" w:hAnsiTheme="majorEastAsia" w:hint="eastAsia"/>
        <w:color w:val="000000" w:themeColor="text1"/>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11FF"/>
    <w:rsid w:val="0002281A"/>
    <w:rsid w:val="00032042"/>
    <w:rsid w:val="000333B6"/>
    <w:rsid w:val="00035067"/>
    <w:rsid w:val="00035A8B"/>
    <w:rsid w:val="000365D9"/>
    <w:rsid w:val="0004213D"/>
    <w:rsid w:val="000446DE"/>
    <w:rsid w:val="0004478F"/>
    <w:rsid w:val="00044D91"/>
    <w:rsid w:val="00045AB8"/>
    <w:rsid w:val="00052F95"/>
    <w:rsid w:val="00056834"/>
    <w:rsid w:val="00061421"/>
    <w:rsid w:val="000621D2"/>
    <w:rsid w:val="000703C0"/>
    <w:rsid w:val="000713EE"/>
    <w:rsid w:val="000731DB"/>
    <w:rsid w:val="00074440"/>
    <w:rsid w:val="00075EE5"/>
    <w:rsid w:val="00080DF9"/>
    <w:rsid w:val="0008261D"/>
    <w:rsid w:val="000846E7"/>
    <w:rsid w:val="00084BCF"/>
    <w:rsid w:val="00085ECE"/>
    <w:rsid w:val="0009045B"/>
    <w:rsid w:val="000964B3"/>
    <w:rsid w:val="00097B23"/>
    <w:rsid w:val="000A19BC"/>
    <w:rsid w:val="000A2558"/>
    <w:rsid w:val="000A7B6D"/>
    <w:rsid w:val="000B2B58"/>
    <w:rsid w:val="000C48DB"/>
    <w:rsid w:val="000D0545"/>
    <w:rsid w:val="000D1788"/>
    <w:rsid w:val="000E04F4"/>
    <w:rsid w:val="000E13CB"/>
    <w:rsid w:val="000E2BCC"/>
    <w:rsid w:val="000E38FD"/>
    <w:rsid w:val="000E61CC"/>
    <w:rsid w:val="000E7525"/>
    <w:rsid w:val="000F18BB"/>
    <w:rsid w:val="000F1B9F"/>
    <w:rsid w:val="000F2F7C"/>
    <w:rsid w:val="000F3FFC"/>
    <w:rsid w:val="000F5434"/>
    <w:rsid w:val="000F5487"/>
    <w:rsid w:val="00100215"/>
    <w:rsid w:val="00100AB1"/>
    <w:rsid w:val="0010512F"/>
    <w:rsid w:val="00115304"/>
    <w:rsid w:val="001179D9"/>
    <w:rsid w:val="001223B0"/>
    <w:rsid w:val="00124F77"/>
    <w:rsid w:val="00126623"/>
    <w:rsid w:val="00127A45"/>
    <w:rsid w:val="00130582"/>
    <w:rsid w:val="00134BE1"/>
    <w:rsid w:val="00137050"/>
    <w:rsid w:val="00140A5D"/>
    <w:rsid w:val="00144ADB"/>
    <w:rsid w:val="001453DA"/>
    <w:rsid w:val="00150CBE"/>
    <w:rsid w:val="001521AC"/>
    <w:rsid w:val="001543EE"/>
    <w:rsid w:val="001552CC"/>
    <w:rsid w:val="00157AA1"/>
    <w:rsid w:val="00161601"/>
    <w:rsid w:val="00161F1F"/>
    <w:rsid w:val="001655D0"/>
    <w:rsid w:val="001673A6"/>
    <w:rsid w:val="0017498E"/>
    <w:rsid w:val="001765C6"/>
    <w:rsid w:val="00176652"/>
    <w:rsid w:val="00180FC4"/>
    <w:rsid w:val="001814B9"/>
    <w:rsid w:val="00184AC6"/>
    <w:rsid w:val="001922FD"/>
    <w:rsid w:val="00192512"/>
    <w:rsid w:val="001931E9"/>
    <w:rsid w:val="00193E98"/>
    <w:rsid w:val="00196F53"/>
    <w:rsid w:val="00197A59"/>
    <w:rsid w:val="001A013B"/>
    <w:rsid w:val="001B04E5"/>
    <w:rsid w:val="001B1CFF"/>
    <w:rsid w:val="001C0A47"/>
    <w:rsid w:val="001C3133"/>
    <w:rsid w:val="001C69EE"/>
    <w:rsid w:val="001C7942"/>
    <w:rsid w:val="001C7E6A"/>
    <w:rsid w:val="001D05C3"/>
    <w:rsid w:val="001D26B1"/>
    <w:rsid w:val="001D314F"/>
    <w:rsid w:val="001E217C"/>
    <w:rsid w:val="001E3609"/>
    <w:rsid w:val="001E6E69"/>
    <w:rsid w:val="001F009F"/>
    <w:rsid w:val="001F06A1"/>
    <w:rsid w:val="001F41B4"/>
    <w:rsid w:val="001F582C"/>
    <w:rsid w:val="001F7FCC"/>
    <w:rsid w:val="002000F1"/>
    <w:rsid w:val="002040CF"/>
    <w:rsid w:val="00204753"/>
    <w:rsid w:val="00204DF8"/>
    <w:rsid w:val="002156DD"/>
    <w:rsid w:val="00216DF9"/>
    <w:rsid w:val="00220680"/>
    <w:rsid w:val="00226371"/>
    <w:rsid w:val="00230773"/>
    <w:rsid w:val="0023257A"/>
    <w:rsid w:val="002336CF"/>
    <w:rsid w:val="00233D23"/>
    <w:rsid w:val="002349A8"/>
    <w:rsid w:val="00236A55"/>
    <w:rsid w:val="00236DA0"/>
    <w:rsid w:val="00242552"/>
    <w:rsid w:val="00252356"/>
    <w:rsid w:val="00253D6D"/>
    <w:rsid w:val="002543D8"/>
    <w:rsid w:val="00261ECC"/>
    <w:rsid w:val="00262468"/>
    <w:rsid w:val="00266757"/>
    <w:rsid w:val="0027073D"/>
    <w:rsid w:val="00274DD9"/>
    <w:rsid w:val="00275F7D"/>
    <w:rsid w:val="00276332"/>
    <w:rsid w:val="002774AC"/>
    <w:rsid w:val="00277A6E"/>
    <w:rsid w:val="00277C6F"/>
    <w:rsid w:val="002835D5"/>
    <w:rsid w:val="002841F4"/>
    <w:rsid w:val="0028731B"/>
    <w:rsid w:val="002907D8"/>
    <w:rsid w:val="002929E4"/>
    <w:rsid w:val="00292DF3"/>
    <w:rsid w:val="00293D11"/>
    <w:rsid w:val="0029418B"/>
    <w:rsid w:val="002967D2"/>
    <w:rsid w:val="0029777C"/>
    <w:rsid w:val="002A1BA5"/>
    <w:rsid w:val="002A6BE1"/>
    <w:rsid w:val="002B6A61"/>
    <w:rsid w:val="002C0EBF"/>
    <w:rsid w:val="002C1695"/>
    <w:rsid w:val="002C6A13"/>
    <w:rsid w:val="002D20D1"/>
    <w:rsid w:val="002D2DC7"/>
    <w:rsid w:val="002D6B35"/>
    <w:rsid w:val="002E15A0"/>
    <w:rsid w:val="002E4904"/>
    <w:rsid w:val="002E4BE1"/>
    <w:rsid w:val="002E530C"/>
    <w:rsid w:val="002E7870"/>
    <w:rsid w:val="002F15B3"/>
    <w:rsid w:val="002F1B58"/>
    <w:rsid w:val="002F4F38"/>
    <w:rsid w:val="002F6FD3"/>
    <w:rsid w:val="002F7F80"/>
    <w:rsid w:val="0030203F"/>
    <w:rsid w:val="00304F16"/>
    <w:rsid w:val="00305DE6"/>
    <w:rsid w:val="00312F01"/>
    <w:rsid w:val="003141CD"/>
    <w:rsid w:val="0031530B"/>
    <w:rsid w:val="00321B04"/>
    <w:rsid w:val="0032575B"/>
    <w:rsid w:val="003268C9"/>
    <w:rsid w:val="00327836"/>
    <w:rsid w:val="003362CD"/>
    <w:rsid w:val="00342E04"/>
    <w:rsid w:val="003439CC"/>
    <w:rsid w:val="003440E4"/>
    <w:rsid w:val="00344457"/>
    <w:rsid w:val="00344DD1"/>
    <w:rsid w:val="00346C68"/>
    <w:rsid w:val="00351D5C"/>
    <w:rsid w:val="00352EDB"/>
    <w:rsid w:val="00353311"/>
    <w:rsid w:val="00355C2A"/>
    <w:rsid w:val="00357848"/>
    <w:rsid w:val="0036151F"/>
    <w:rsid w:val="00361623"/>
    <w:rsid w:val="003617F8"/>
    <w:rsid w:val="0036399F"/>
    <w:rsid w:val="003643D1"/>
    <w:rsid w:val="00367DEE"/>
    <w:rsid w:val="003811C5"/>
    <w:rsid w:val="0038551F"/>
    <w:rsid w:val="00386A8F"/>
    <w:rsid w:val="00390F59"/>
    <w:rsid w:val="0039222A"/>
    <w:rsid w:val="003924D9"/>
    <w:rsid w:val="00394B00"/>
    <w:rsid w:val="00397807"/>
    <w:rsid w:val="00397AC8"/>
    <w:rsid w:val="003A2ABB"/>
    <w:rsid w:val="003A785E"/>
    <w:rsid w:val="003B109A"/>
    <w:rsid w:val="003B5A22"/>
    <w:rsid w:val="003C12F5"/>
    <w:rsid w:val="003C4A8C"/>
    <w:rsid w:val="003C517D"/>
    <w:rsid w:val="003E1F2F"/>
    <w:rsid w:val="003F111C"/>
    <w:rsid w:val="003F36DA"/>
    <w:rsid w:val="003F48E5"/>
    <w:rsid w:val="00400910"/>
    <w:rsid w:val="004026D7"/>
    <w:rsid w:val="0040532F"/>
    <w:rsid w:val="004120CC"/>
    <w:rsid w:val="00413D6B"/>
    <w:rsid w:val="00413EBB"/>
    <w:rsid w:val="004168B3"/>
    <w:rsid w:val="00417CC4"/>
    <w:rsid w:val="00421879"/>
    <w:rsid w:val="00422427"/>
    <w:rsid w:val="00427E74"/>
    <w:rsid w:val="00432B0D"/>
    <w:rsid w:val="00436455"/>
    <w:rsid w:val="0044359E"/>
    <w:rsid w:val="00443B53"/>
    <w:rsid w:val="00445165"/>
    <w:rsid w:val="00445DAC"/>
    <w:rsid w:val="004543FD"/>
    <w:rsid w:val="0045523D"/>
    <w:rsid w:val="00465586"/>
    <w:rsid w:val="00471548"/>
    <w:rsid w:val="00473A25"/>
    <w:rsid w:val="004748C8"/>
    <w:rsid w:val="0047529F"/>
    <w:rsid w:val="004767D3"/>
    <w:rsid w:val="00483E6F"/>
    <w:rsid w:val="0048459F"/>
    <w:rsid w:val="00485CB6"/>
    <w:rsid w:val="00486618"/>
    <w:rsid w:val="00487FDC"/>
    <w:rsid w:val="00494B68"/>
    <w:rsid w:val="00495EE6"/>
    <w:rsid w:val="0049649E"/>
    <w:rsid w:val="00497691"/>
    <w:rsid w:val="00497827"/>
    <w:rsid w:val="004A4904"/>
    <w:rsid w:val="004A6B90"/>
    <w:rsid w:val="004A79B1"/>
    <w:rsid w:val="004B32EC"/>
    <w:rsid w:val="004B5836"/>
    <w:rsid w:val="004B609D"/>
    <w:rsid w:val="004C3759"/>
    <w:rsid w:val="004C4879"/>
    <w:rsid w:val="004C5A7B"/>
    <w:rsid w:val="004C6CCA"/>
    <w:rsid w:val="004D5D8C"/>
    <w:rsid w:val="004E36AB"/>
    <w:rsid w:val="004E3842"/>
    <w:rsid w:val="004E3B5A"/>
    <w:rsid w:val="004F1AF2"/>
    <w:rsid w:val="004F277B"/>
    <w:rsid w:val="004F54CE"/>
    <w:rsid w:val="004F6D60"/>
    <w:rsid w:val="005023E2"/>
    <w:rsid w:val="00502703"/>
    <w:rsid w:val="00504A86"/>
    <w:rsid w:val="00504BFB"/>
    <w:rsid w:val="00505F0E"/>
    <w:rsid w:val="0051039B"/>
    <w:rsid w:val="0051098D"/>
    <w:rsid w:val="00510C9A"/>
    <w:rsid w:val="00516B29"/>
    <w:rsid w:val="005201E1"/>
    <w:rsid w:val="0052659F"/>
    <w:rsid w:val="005272AA"/>
    <w:rsid w:val="00527FFD"/>
    <w:rsid w:val="005336EF"/>
    <w:rsid w:val="00534FB0"/>
    <w:rsid w:val="00535F8A"/>
    <w:rsid w:val="0053675D"/>
    <w:rsid w:val="00540B3A"/>
    <w:rsid w:val="00542D95"/>
    <w:rsid w:val="005438F4"/>
    <w:rsid w:val="00543B8E"/>
    <w:rsid w:val="00545A2B"/>
    <w:rsid w:val="005527A4"/>
    <w:rsid w:val="00553415"/>
    <w:rsid w:val="005646BB"/>
    <w:rsid w:val="00565FA9"/>
    <w:rsid w:val="005732AA"/>
    <w:rsid w:val="00573689"/>
    <w:rsid w:val="00574C11"/>
    <w:rsid w:val="00574CF6"/>
    <w:rsid w:val="00580536"/>
    <w:rsid w:val="005808CC"/>
    <w:rsid w:val="00580D76"/>
    <w:rsid w:val="00582F62"/>
    <w:rsid w:val="00587A59"/>
    <w:rsid w:val="00596A30"/>
    <w:rsid w:val="00596AC3"/>
    <w:rsid w:val="005A0745"/>
    <w:rsid w:val="005A1FB3"/>
    <w:rsid w:val="005A3A6C"/>
    <w:rsid w:val="005A4410"/>
    <w:rsid w:val="005A49DC"/>
    <w:rsid w:val="005A5B3D"/>
    <w:rsid w:val="005B391E"/>
    <w:rsid w:val="005B49D5"/>
    <w:rsid w:val="005B4AAE"/>
    <w:rsid w:val="005B73DB"/>
    <w:rsid w:val="005C4B3C"/>
    <w:rsid w:val="005C5B77"/>
    <w:rsid w:val="005D059C"/>
    <w:rsid w:val="005D165B"/>
    <w:rsid w:val="005D1CDF"/>
    <w:rsid w:val="005D54F6"/>
    <w:rsid w:val="005D57B8"/>
    <w:rsid w:val="005D6A38"/>
    <w:rsid w:val="005E0AE1"/>
    <w:rsid w:val="005E163A"/>
    <w:rsid w:val="005E200B"/>
    <w:rsid w:val="005E6D10"/>
    <w:rsid w:val="005E73C7"/>
    <w:rsid w:val="00600A09"/>
    <w:rsid w:val="00604BF2"/>
    <w:rsid w:val="006057A2"/>
    <w:rsid w:val="0060583B"/>
    <w:rsid w:val="00605A42"/>
    <w:rsid w:val="006131D5"/>
    <w:rsid w:val="00613EEC"/>
    <w:rsid w:val="00614D17"/>
    <w:rsid w:val="00617275"/>
    <w:rsid w:val="00617BB2"/>
    <w:rsid w:val="00620A98"/>
    <w:rsid w:val="00624964"/>
    <w:rsid w:val="00624CED"/>
    <w:rsid w:val="00636636"/>
    <w:rsid w:val="00641854"/>
    <w:rsid w:val="00645D44"/>
    <w:rsid w:val="00647F7F"/>
    <w:rsid w:val="00652BE4"/>
    <w:rsid w:val="00652F3A"/>
    <w:rsid w:val="00653D51"/>
    <w:rsid w:val="00654506"/>
    <w:rsid w:val="00655B9F"/>
    <w:rsid w:val="00656A75"/>
    <w:rsid w:val="0066009E"/>
    <w:rsid w:val="00665CA5"/>
    <w:rsid w:val="00665E34"/>
    <w:rsid w:val="00670366"/>
    <w:rsid w:val="006708AC"/>
    <w:rsid w:val="00671D00"/>
    <w:rsid w:val="00677E62"/>
    <w:rsid w:val="0068386C"/>
    <w:rsid w:val="00691A2B"/>
    <w:rsid w:val="0069769A"/>
    <w:rsid w:val="00697F67"/>
    <w:rsid w:val="00697F80"/>
    <w:rsid w:val="006A0CA5"/>
    <w:rsid w:val="006A1534"/>
    <w:rsid w:val="006A502A"/>
    <w:rsid w:val="006B1825"/>
    <w:rsid w:val="006B20E3"/>
    <w:rsid w:val="006B375B"/>
    <w:rsid w:val="006B4BDE"/>
    <w:rsid w:val="006B6A94"/>
    <w:rsid w:val="006B7EF8"/>
    <w:rsid w:val="006C2A69"/>
    <w:rsid w:val="006C3802"/>
    <w:rsid w:val="006C46A0"/>
    <w:rsid w:val="006C7FE9"/>
    <w:rsid w:val="006D3F91"/>
    <w:rsid w:val="006D5A6A"/>
    <w:rsid w:val="006D711E"/>
    <w:rsid w:val="006E0A74"/>
    <w:rsid w:val="006E7FBA"/>
    <w:rsid w:val="006F18F8"/>
    <w:rsid w:val="006F4304"/>
    <w:rsid w:val="006F55FE"/>
    <w:rsid w:val="006F6925"/>
    <w:rsid w:val="006F7BA4"/>
    <w:rsid w:val="00705327"/>
    <w:rsid w:val="007056EF"/>
    <w:rsid w:val="007121BB"/>
    <w:rsid w:val="007123E2"/>
    <w:rsid w:val="007139B1"/>
    <w:rsid w:val="00713E30"/>
    <w:rsid w:val="007153B2"/>
    <w:rsid w:val="00720FE4"/>
    <w:rsid w:val="00721351"/>
    <w:rsid w:val="007228E7"/>
    <w:rsid w:val="007238B7"/>
    <w:rsid w:val="00724179"/>
    <w:rsid w:val="00726C87"/>
    <w:rsid w:val="00727771"/>
    <w:rsid w:val="00727FBE"/>
    <w:rsid w:val="00732FA5"/>
    <w:rsid w:val="007337AF"/>
    <w:rsid w:val="007349ED"/>
    <w:rsid w:val="007408C1"/>
    <w:rsid w:val="00742EEE"/>
    <w:rsid w:val="00743CCD"/>
    <w:rsid w:val="00745B4E"/>
    <w:rsid w:val="00745EDB"/>
    <w:rsid w:val="00753675"/>
    <w:rsid w:val="00753739"/>
    <w:rsid w:val="00754792"/>
    <w:rsid w:val="00757551"/>
    <w:rsid w:val="00761C81"/>
    <w:rsid w:val="0076335E"/>
    <w:rsid w:val="00766C91"/>
    <w:rsid w:val="007700A1"/>
    <w:rsid w:val="007749FA"/>
    <w:rsid w:val="00776B76"/>
    <w:rsid w:val="00784C84"/>
    <w:rsid w:val="00790701"/>
    <w:rsid w:val="007928C5"/>
    <w:rsid w:val="007970EB"/>
    <w:rsid w:val="007A0252"/>
    <w:rsid w:val="007A520B"/>
    <w:rsid w:val="007A6720"/>
    <w:rsid w:val="007B01AA"/>
    <w:rsid w:val="007B0D53"/>
    <w:rsid w:val="007B322C"/>
    <w:rsid w:val="007B415F"/>
    <w:rsid w:val="007B5F85"/>
    <w:rsid w:val="007C0083"/>
    <w:rsid w:val="007C341E"/>
    <w:rsid w:val="007C6DA2"/>
    <w:rsid w:val="007D13D6"/>
    <w:rsid w:val="007E03E6"/>
    <w:rsid w:val="007E1B15"/>
    <w:rsid w:val="007E238A"/>
    <w:rsid w:val="007E347F"/>
    <w:rsid w:val="007E544C"/>
    <w:rsid w:val="007E6403"/>
    <w:rsid w:val="007F1054"/>
    <w:rsid w:val="007F55EE"/>
    <w:rsid w:val="0080053F"/>
    <w:rsid w:val="00802A02"/>
    <w:rsid w:val="00802E3A"/>
    <w:rsid w:val="00804238"/>
    <w:rsid w:val="00807D6C"/>
    <w:rsid w:val="008152DF"/>
    <w:rsid w:val="008165CE"/>
    <w:rsid w:val="0082758C"/>
    <w:rsid w:val="00831EA8"/>
    <w:rsid w:val="0083252D"/>
    <w:rsid w:val="008326D1"/>
    <w:rsid w:val="00834773"/>
    <w:rsid w:val="00834F9E"/>
    <w:rsid w:val="00843D84"/>
    <w:rsid w:val="00845BC0"/>
    <w:rsid w:val="00846AD3"/>
    <w:rsid w:val="00850EEE"/>
    <w:rsid w:val="00853471"/>
    <w:rsid w:val="00853F3B"/>
    <w:rsid w:val="008576ED"/>
    <w:rsid w:val="00857FCA"/>
    <w:rsid w:val="00861B3C"/>
    <w:rsid w:val="0086207D"/>
    <w:rsid w:val="00862B62"/>
    <w:rsid w:val="00865C36"/>
    <w:rsid w:val="008660F8"/>
    <w:rsid w:val="00871633"/>
    <w:rsid w:val="00871E57"/>
    <w:rsid w:val="00881ABC"/>
    <w:rsid w:val="00883882"/>
    <w:rsid w:val="0088416D"/>
    <w:rsid w:val="00891384"/>
    <w:rsid w:val="00891BAA"/>
    <w:rsid w:val="00893AB0"/>
    <w:rsid w:val="00893D1F"/>
    <w:rsid w:val="00894427"/>
    <w:rsid w:val="008A1C3C"/>
    <w:rsid w:val="008A21DF"/>
    <w:rsid w:val="008A32C7"/>
    <w:rsid w:val="008B36C8"/>
    <w:rsid w:val="008B5094"/>
    <w:rsid w:val="008B5228"/>
    <w:rsid w:val="008B7811"/>
    <w:rsid w:val="008C496A"/>
    <w:rsid w:val="008D40A0"/>
    <w:rsid w:val="008D4A7A"/>
    <w:rsid w:val="008D7893"/>
    <w:rsid w:val="008D7FD3"/>
    <w:rsid w:val="008E10C9"/>
    <w:rsid w:val="008E7B21"/>
    <w:rsid w:val="008F0DDA"/>
    <w:rsid w:val="008F39FD"/>
    <w:rsid w:val="008F3EB3"/>
    <w:rsid w:val="008F4E54"/>
    <w:rsid w:val="008F6088"/>
    <w:rsid w:val="008F6FA8"/>
    <w:rsid w:val="0090139D"/>
    <w:rsid w:val="009019E4"/>
    <w:rsid w:val="009117F9"/>
    <w:rsid w:val="00914FA0"/>
    <w:rsid w:val="009229D0"/>
    <w:rsid w:val="00924230"/>
    <w:rsid w:val="009263A8"/>
    <w:rsid w:val="00927C92"/>
    <w:rsid w:val="00927E52"/>
    <w:rsid w:val="00931EE2"/>
    <w:rsid w:val="0093333C"/>
    <w:rsid w:val="00934CCE"/>
    <w:rsid w:val="0094721F"/>
    <w:rsid w:val="009521EE"/>
    <w:rsid w:val="00961280"/>
    <w:rsid w:val="00967D50"/>
    <w:rsid w:val="009712F0"/>
    <w:rsid w:val="009734A2"/>
    <w:rsid w:val="009745CB"/>
    <w:rsid w:val="00976A2F"/>
    <w:rsid w:val="0098278F"/>
    <w:rsid w:val="00996ED6"/>
    <w:rsid w:val="009A2CDA"/>
    <w:rsid w:val="009A7342"/>
    <w:rsid w:val="009B1567"/>
    <w:rsid w:val="009C0BA6"/>
    <w:rsid w:val="009C3326"/>
    <w:rsid w:val="009C5EDC"/>
    <w:rsid w:val="009D2399"/>
    <w:rsid w:val="009D5277"/>
    <w:rsid w:val="009D52C4"/>
    <w:rsid w:val="009E5DBA"/>
    <w:rsid w:val="009E6E79"/>
    <w:rsid w:val="009F0A71"/>
    <w:rsid w:val="009F3CF3"/>
    <w:rsid w:val="00A00B18"/>
    <w:rsid w:val="00A0184B"/>
    <w:rsid w:val="00A02027"/>
    <w:rsid w:val="00A038F4"/>
    <w:rsid w:val="00A057B8"/>
    <w:rsid w:val="00A058BD"/>
    <w:rsid w:val="00A06C22"/>
    <w:rsid w:val="00A11E8A"/>
    <w:rsid w:val="00A13149"/>
    <w:rsid w:val="00A136E2"/>
    <w:rsid w:val="00A147C9"/>
    <w:rsid w:val="00A15A67"/>
    <w:rsid w:val="00A17643"/>
    <w:rsid w:val="00A21F59"/>
    <w:rsid w:val="00A2502B"/>
    <w:rsid w:val="00A26D2A"/>
    <w:rsid w:val="00A32486"/>
    <w:rsid w:val="00A42E09"/>
    <w:rsid w:val="00A448A8"/>
    <w:rsid w:val="00A517FC"/>
    <w:rsid w:val="00A52294"/>
    <w:rsid w:val="00A5332F"/>
    <w:rsid w:val="00A5398B"/>
    <w:rsid w:val="00A6043F"/>
    <w:rsid w:val="00A60B95"/>
    <w:rsid w:val="00A6170C"/>
    <w:rsid w:val="00A62AAE"/>
    <w:rsid w:val="00A63B17"/>
    <w:rsid w:val="00A72F70"/>
    <w:rsid w:val="00A7768F"/>
    <w:rsid w:val="00A81873"/>
    <w:rsid w:val="00A82162"/>
    <w:rsid w:val="00A90533"/>
    <w:rsid w:val="00A94DAC"/>
    <w:rsid w:val="00A9555A"/>
    <w:rsid w:val="00A9602C"/>
    <w:rsid w:val="00A963AF"/>
    <w:rsid w:val="00A97AC7"/>
    <w:rsid w:val="00AA6F3C"/>
    <w:rsid w:val="00AB1FF4"/>
    <w:rsid w:val="00AB3B8C"/>
    <w:rsid w:val="00AB492A"/>
    <w:rsid w:val="00AB73A0"/>
    <w:rsid w:val="00AB7E8B"/>
    <w:rsid w:val="00AC025E"/>
    <w:rsid w:val="00AC3403"/>
    <w:rsid w:val="00AC3A4F"/>
    <w:rsid w:val="00AC49E6"/>
    <w:rsid w:val="00AC637D"/>
    <w:rsid w:val="00AD0DEC"/>
    <w:rsid w:val="00AD63D1"/>
    <w:rsid w:val="00AD71D3"/>
    <w:rsid w:val="00AE1596"/>
    <w:rsid w:val="00AE2346"/>
    <w:rsid w:val="00AE3619"/>
    <w:rsid w:val="00AE4334"/>
    <w:rsid w:val="00AF04EA"/>
    <w:rsid w:val="00AF0AE1"/>
    <w:rsid w:val="00AF2116"/>
    <w:rsid w:val="00AF2728"/>
    <w:rsid w:val="00AF3961"/>
    <w:rsid w:val="00B00164"/>
    <w:rsid w:val="00B04DA5"/>
    <w:rsid w:val="00B1560A"/>
    <w:rsid w:val="00B22B3A"/>
    <w:rsid w:val="00B22F9A"/>
    <w:rsid w:val="00B231F5"/>
    <w:rsid w:val="00B24F49"/>
    <w:rsid w:val="00B3099F"/>
    <w:rsid w:val="00B30D7D"/>
    <w:rsid w:val="00B32649"/>
    <w:rsid w:val="00B409A3"/>
    <w:rsid w:val="00B44208"/>
    <w:rsid w:val="00B47E0E"/>
    <w:rsid w:val="00B52611"/>
    <w:rsid w:val="00B537B3"/>
    <w:rsid w:val="00B53EFD"/>
    <w:rsid w:val="00B54558"/>
    <w:rsid w:val="00B54B19"/>
    <w:rsid w:val="00B56F7B"/>
    <w:rsid w:val="00B57A0E"/>
    <w:rsid w:val="00B61CC5"/>
    <w:rsid w:val="00B61F5E"/>
    <w:rsid w:val="00B6237D"/>
    <w:rsid w:val="00B63AE7"/>
    <w:rsid w:val="00B6743D"/>
    <w:rsid w:val="00B74F20"/>
    <w:rsid w:val="00B82BF4"/>
    <w:rsid w:val="00B83D63"/>
    <w:rsid w:val="00B87A52"/>
    <w:rsid w:val="00B87E91"/>
    <w:rsid w:val="00B90D7B"/>
    <w:rsid w:val="00B929A9"/>
    <w:rsid w:val="00B97E60"/>
    <w:rsid w:val="00BA0C83"/>
    <w:rsid w:val="00BA0CAE"/>
    <w:rsid w:val="00BA15FE"/>
    <w:rsid w:val="00BA1D3C"/>
    <w:rsid w:val="00BA60D5"/>
    <w:rsid w:val="00BB01D2"/>
    <w:rsid w:val="00BB26FC"/>
    <w:rsid w:val="00BB5212"/>
    <w:rsid w:val="00BC17EF"/>
    <w:rsid w:val="00BC1F51"/>
    <w:rsid w:val="00BC62F4"/>
    <w:rsid w:val="00BD1150"/>
    <w:rsid w:val="00BD41DC"/>
    <w:rsid w:val="00BD423F"/>
    <w:rsid w:val="00BD7DF8"/>
    <w:rsid w:val="00BE29DA"/>
    <w:rsid w:val="00BE2F4A"/>
    <w:rsid w:val="00BE4369"/>
    <w:rsid w:val="00BE4A40"/>
    <w:rsid w:val="00BF0ABC"/>
    <w:rsid w:val="00BF106D"/>
    <w:rsid w:val="00BF5D3F"/>
    <w:rsid w:val="00C012DB"/>
    <w:rsid w:val="00C02004"/>
    <w:rsid w:val="00C03F4D"/>
    <w:rsid w:val="00C07BF6"/>
    <w:rsid w:val="00C11F6F"/>
    <w:rsid w:val="00C25096"/>
    <w:rsid w:val="00C25708"/>
    <w:rsid w:val="00C25DF6"/>
    <w:rsid w:val="00C26FA5"/>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664AD"/>
    <w:rsid w:val="00C71BC8"/>
    <w:rsid w:val="00C72182"/>
    <w:rsid w:val="00C80C7A"/>
    <w:rsid w:val="00C812AF"/>
    <w:rsid w:val="00C84501"/>
    <w:rsid w:val="00C84C72"/>
    <w:rsid w:val="00C87A66"/>
    <w:rsid w:val="00C9110F"/>
    <w:rsid w:val="00C97750"/>
    <w:rsid w:val="00CA03FD"/>
    <w:rsid w:val="00CA2157"/>
    <w:rsid w:val="00CA4ABE"/>
    <w:rsid w:val="00CB05B4"/>
    <w:rsid w:val="00CB0822"/>
    <w:rsid w:val="00CB36D2"/>
    <w:rsid w:val="00CB59AD"/>
    <w:rsid w:val="00CC4805"/>
    <w:rsid w:val="00CC4BF1"/>
    <w:rsid w:val="00CC4DFD"/>
    <w:rsid w:val="00CC5766"/>
    <w:rsid w:val="00CC6B63"/>
    <w:rsid w:val="00CC7C9D"/>
    <w:rsid w:val="00CC7F18"/>
    <w:rsid w:val="00CD0EFE"/>
    <w:rsid w:val="00CD215E"/>
    <w:rsid w:val="00CD21D7"/>
    <w:rsid w:val="00CE1907"/>
    <w:rsid w:val="00CE3B11"/>
    <w:rsid w:val="00CE4428"/>
    <w:rsid w:val="00CE4808"/>
    <w:rsid w:val="00CF3624"/>
    <w:rsid w:val="00CF7942"/>
    <w:rsid w:val="00D0290F"/>
    <w:rsid w:val="00D1053F"/>
    <w:rsid w:val="00D11A40"/>
    <w:rsid w:val="00D12B64"/>
    <w:rsid w:val="00D14E56"/>
    <w:rsid w:val="00D16C27"/>
    <w:rsid w:val="00D20DF3"/>
    <w:rsid w:val="00D213CB"/>
    <w:rsid w:val="00D2244E"/>
    <w:rsid w:val="00D24763"/>
    <w:rsid w:val="00D24D96"/>
    <w:rsid w:val="00D31096"/>
    <w:rsid w:val="00D316FA"/>
    <w:rsid w:val="00D33CCA"/>
    <w:rsid w:val="00D34199"/>
    <w:rsid w:val="00D5012E"/>
    <w:rsid w:val="00D50799"/>
    <w:rsid w:val="00D50BDE"/>
    <w:rsid w:val="00D532AA"/>
    <w:rsid w:val="00D56B43"/>
    <w:rsid w:val="00D60586"/>
    <w:rsid w:val="00D662CC"/>
    <w:rsid w:val="00D66480"/>
    <w:rsid w:val="00D67872"/>
    <w:rsid w:val="00D67CBA"/>
    <w:rsid w:val="00D74D51"/>
    <w:rsid w:val="00D84CCD"/>
    <w:rsid w:val="00D9782B"/>
    <w:rsid w:val="00DA0906"/>
    <w:rsid w:val="00DA1362"/>
    <w:rsid w:val="00DA3C8B"/>
    <w:rsid w:val="00DA533D"/>
    <w:rsid w:val="00DA6BBD"/>
    <w:rsid w:val="00DB138F"/>
    <w:rsid w:val="00DB4057"/>
    <w:rsid w:val="00DC3FC3"/>
    <w:rsid w:val="00DC4485"/>
    <w:rsid w:val="00DC4D03"/>
    <w:rsid w:val="00DC6385"/>
    <w:rsid w:val="00DD38AA"/>
    <w:rsid w:val="00DD4FA7"/>
    <w:rsid w:val="00DD5B54"/>
    <w:rsid w:val="00DD7ACF"/>
    <w:rsid w:val="00DE78D8"/>
    <w:rsid w:val="00DF0629"/>
    <w:rsid w:val="00DF13B3"/>
    <w:rsid w:val="00DF32AE"/>
    <w:rsid w:val="00DF36EA"/>
    <w:rsid w:val="00DF3A86"/>
    <w:rsid w:val="00DF716E"/>
    <w:rsid w:val="00E0019A"/>
    <w:rsid w:val="00E05B28"/>
    <w:rsid w:val="00E0754C"/>
    <w:rsid w:val="00E107B1"/>
    <w:rsid w:val="00E107E4"/>
    <w:rsid w:val="00E117A7"/>
    <w:rsid w:val="00E144A7"/>
    <w:rsid w:val="00E20302"/>
    <w:rsid w:val="00E22407"/>
    <w:rsid w:val="00E2798F"/>
    <w:rsid w:val="00E27EBA"/>
    <w:rsid w:val="00E303D5"/>
    <w:rsid w:val="00E31CE5"/>
    <w:rsid w:val="00E338B3"/>
    <w:rsid w:val="00E34146"/>
    <w:rsid w:val="00E37AFC"/>
    <w:rsid w:val="00E4212C"/>
    <w:rsid w:val="00E4465E"/>
    <w:rsid w:val="00E47024"/>
    <w:rsid w:val="00E47077"/>
    <w:rsid w:val="00E531D0"/>
    <w:rsid w:val="00E53B64"/>
    <w:rsid w:val="00E5414B"/>
    <w:rsid w:val="00E550FC"/>
    <w:rsid w:val="00E5530C"/>
    <w:rsid w:val="00E57FAA"/>
    <w:rsid w:val="00E60F29"/>
    <w:rsid w:val="00E64039"/>
    <w:rsid w:val="00E64987"/>
    <w:rsid w:val="00E6710C"/>
    <w:rsid w:val="00E72628"/>
    <w:rsid w:val="00E80799"/>
    <w:rsid w:val="00E81BCC"/>
    <w:rsid w:val="00E81CC0"/>
    <w:rsid w:val="00E8313C"/>
    <w:rsid w:val="00E83D46"/>
    <w:rsid w:val="00E877AE"/>
    <w:rsid w:val="00E901DF"/>
    <w:rsid w:val="00E91E5A"/>
    <w:rsid w:val="00E960BC"/>
    <w:rsid w:val="00EA1B25"/>
    <w:rsid w:val="00EA3F95"/>
    <w:rsid w:val="00EB055A"/>
    <w:rsid w:val="00EB419C"/>
    <w:rsid w:val="00EB41EE"/>
    <w:rsid w:val="00EC1DA9"/>
    <w:rsid w:val="00EC5BA2"/>
    <w:rsid w:val="00ED4A31"/>
    <w:rsid w:val="00EE0085"/>
    <w:rsid w:val="00EE0159"/>
    <w:rsid w:val="00EE0504"/>
    <w:rsid w:val="00EE27E3"/>
    <w:rsid w:val="00EE43B6"/>
    <w:rsid w:val="00EE7AEC"/>
    <w:rsid w:val="00EF1C9E"/>
    <w:rsid w:val="00EF25A1"/>
    <w:rsid w:val="00EF2DA9"/>
    <w:rsid w:val="00EF3FDB"/>
    <w:rsid w:val="00EF63E9"/>
    <w:rsid w:val="00F00155"/>
    <w:rsid w:val="00F01EAE"/>
    <w:rsid w:val="00F039C4"/>
    <w:rsid w:val="00F049B8"/>
    <w:rsid w:val="00F05B71"/>
    <w:rsid w:val="00F11BDD"/>
    <w:rsid w:val="00F132BB"/>
    <w:rsid w:val="00F136C4"/>
    <w:rsid w:val="00F14408"/>
    <w:rsid w:val="00F1580D"/>
    <w:rsid w:val="00F15E8D"/>
    <w:rsid w:val="00F20266"/>
    <w:rsid w:val="00F2145A"/>
    <w:rsid w:val="00F2407C"/>
    <w:rsid w:val="00F26838"/>
    <w:rsid w:val="00F32055"/>
    <w:rsid w:val="00F33367"/>
    <w:rsid w:val="00F363A2"/>
    <w:rsid w:val="00F37405"/>
    <w:rsid w:val="00F4243C"/>
    <w:rsid w:val="00F43675"/>
    <w:rsid w:val="00F43769"/>
    <w:rsid w:val="00F5106C"/>
    <w:rsid w:val="00F5312A"/>
    <w:rsid w:val="00F56D9F"/>
    <w:rsid w:val="00F579D1"/>
    <w:rsid w:val="00F6669C"/>
    <w:rsid w:val="00F721C1"/>
    <w:rsid w:val="00F744E9"/>
    <w:rsid w:val="00F74C96"/>
    <w:rsid w:val="00F750C3"/>
    <w:rsid w:val="00F76B26"/>
    <w:rsid w:val="00F7734B"/>
    <w:rsid w:val="00F77EA1"/>
    <w:rsid w:val="00F83089"/>
    <w:rsid w:val="00F85068"/>
    <w:rsid w:val="00F93706"/>
    <w:rsid w:val="00F9385A"/>
    <w:rsid w:val="00F94C89"/>
    <w:rsid w:val="00F95E46"/>
    <w:rsid w:val="00FA08F2"/>
    <w:rsid w:val="00FA0DF2"/>
    <w:rsid w:val="00FA1D62"/>
    <w:rsid w:val="00FA3424"/>
    <w:rsid w:val="00FA5A29"/>
    <w:rsid w:val="00FB2B16"/>
    <w:rsid w:val="00FB5F93"/>
    <w:rsid w:val="00FC18DB"/>
    <w:rsid w:val="00FC272F"/>
    <w:rsid w:val="00FC6278"/>
    <w:rsid w:val="00FD2242"/>
    <w:rsid w:val="00FD545F"/>
    <w:rsid w:val="00FD7417"/>
    <w:rsid w:val="00FE0921"/>
    <w:rsid w:val="00FE3F16"/>
    <w:rsid w:val="00FE446F"/>
    <w:rsid w:val="00FF2201"/>
    <w:rsid w:val="00FF35E3"/>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2026-03-09T07:26:00Z</cp:lastPrinted>
  <dcterms:created xsi:type="dcterms:W3CDTF">2026-03-11T00:09:00Z</dcterms:created>
  <dcterms:modified xsi:type="dcterms:W3CDTF">2026-03-13T00:08:00Z</dcterms:modified>
</cp:coreProperties>
</file>