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C7" w:rsidRPr="00EE2F94" w:rsidRDefault="007609C7">
      <w:pPr>
        <w:rPr>
          <w:rFonts w:ascii="游ゴシック" w:eastAsia="游ゴシック" w:hAnsi="游ゴシック"/>
          <w:szCs w:val="21"/>
        </w:rPr>
      </w:pPr>
      <w:bookmarkStart w:id="0" w:name="_GoBack"/>
      <w:bookmarkEnd w:id="0"/>
    </w:p>
    <w:p w:rsidR="00AB64D6" w:rsidRPr="00EE2F94" w:rsidRDefault="00074059" w:rsidP="006C2B45">
      <w:pPr>
        <w:rPr>
          <w:rFonts w:ascii="游ゴシック" w:eastAsia="游ゴシック" w:hAnsi="游ゴシック"/>
          <w:b/>
          <w:bCs/>
          <w:szCs w:val="21"/>
        </w:rPr>
      </w:pPr>
      <w:r w:rsidRPr="00EE2F94">
        <w:rPr>
          <w:rFonts w:ascii="游ゴシック" w:eastAsia="游ゴシック" w:hAnsi="游ゴシック" w:hint="eastAsia"/>
          <w:b/>
          <w:bCs/>
          <w:szCs w:val="21"/>
        </w:rPr>
        <w:t>【</w:t>
      </w:r>
      <w:r w:rsidR="003C3BAB" w:rsidRPr="00EE2F94">
        <w:rPr>
          <w:rFonts w:ascii="游ゴシック" w:eastAsia="游ゴシック" w:hAnsi="游ゴシック" w:hint="eastAsia"/>
          <w:b/>
          <w:bCs/>
          <w:szCs w:val="21"/>
        </w:rPr>
        <w:t>枚方市</w:t>
      </w:r>
      <w:r w:rsidRPr="00EE2F94">
        <w:rPr>
          <w:rFonts w:ascii="游ゴシック" w:eastAsia="游ゴシック" w:hAnsi="游ゴシック" w:hint="eastAsia"/>
          <w:b/>
          <w:bCs/>
          <w:szCs w:val="21"/>
        </w:rPr>
        <w:t>】</w:t>
      </w:r>
    </w:p>
    <w:tbl>
      <w:tblPr>
        <w:tblStyle w:val="a3"/>
        <w:tblW w:w="0" w:type="auto"/>
        <w:tblInd w:w="279" w:type="dxa"/>
        <w:tblLook w:val="04A0" w:firstRow="1" w:lastRow="0" w:firstColumn="1" w:lastColumn="0" w:noHBand="0" w:noVBand="1"/>
      </w:tblPr>
      <w:tblGrid>
        <w:gridCol w:w="1276"/>
        <w:gridCol w:w="8646"/>
      </w:tblGrid>
      <w:tr w:rsidR="00F6477C" w:rsidRPr="00EE2F94" w:rsidTr="00193DAC">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施策名①</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妙見山煙突見学会</w:t>
            </w:r>
          </w:p>
        </w:tc>
      </w:tr>
      <w:tr w:rsidR="00F6477C" w:rsidRPr="00EE2F94" w:rsidTr="00193DAC">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市の戦争遺跡である煙突（旧香里製造所）の周知を図るとともに、平和の尊さについて考える機会となるよう、市民を対象とする見学会を実施している。</w:t>
            </w:r>
          </w:p>
        </w:tc>
      </w:tr>
      <w:tr w:rsidR="001A40D6" w:rsidRPr="00EE2F94" w:rsidTr="00193DAC">
        <w:trPr>
          <w:trHeight w:val="510"/>
        </w:trPr>
        <w:tc>
          <w:tcPr>
            <w:tcW w:w="1276" w:type="dxa"/>
            <w:tcBorders>
              <w:top w:val="dotted" w:sz="4" w:space="0" w:color="auto"/>
              <w:bottom w:val="single" w:sz="4" w:space="0" w:color="auto"/>
            </w:tcBorders>
            <w:vAlign w:val="center"/>
          </w:tcPr>
          <w:p w:rsidR="001A40D6" w:rsidRPr="00EE2F94" w:rsidRDefault="00FD7AB1" w:rsidP="00193DAC">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1A40D6" w:rsidRPr="00EE2F94" w:rsidRDefault="00FC008F" w:rsidP="00193DAC">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AB64D6" w:rsidRPr="00EE2F94" w:rsidRDefault="00AB64D6">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193DAC">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施策名②</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憲法のつどい</w:t>
            </w:r>
          </w:p>
        </w:tc>
      </w:tr>
      <w:tr w:rsidR="00F6477C" w:rsidRPr="00EE2F94" w:rsidTr="00193DAC">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憲法の理念を広く市民に啓発していく取り組みとして、市民参加で平和や人権、地方自治のあり方について考えるため、市制施行20周年の昭和42年（1967年）を節目に、翌43年（1968年）から毎年、講演会等を開催している。</w:t>
            </w:r>
          </w:p>
        </w:tc>
      </w:tr>
      <w:tr w:rsidR="001A40D6" w:rsidRPr="00EE2F94" w:rsidTr="00193DAC">
        <w:trPr>
          <w:trHeight w:val="510"/>
        </w:trPr>
        <w:tc>
          <w:tcPr>
            <w:tcW w:w="1276" w:type="dxa"/>
            <w:tcBorders>
              <w:top w:val="dotted" w:sz="4" w:space="0" w:color="auto"/>
              <w:bottom w:val="single" w:sz="4" w:space="0" w:color="auto"/>
            </w:tcBorders>
            <w:vAlign w:val="center"/>
          </w:tcPr>
          <w:p w:rsidR="001A40D6" w:rsidRPr="00EE2F94" w:rsidRDefault="00FD7AB1" w:rsidP="00193DAC">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1A40D6" w:rsidRPr="00EE2F94" w:rsidRDefault="00FC008F" w:rsidP="00193DAC">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116FD0" w:rsidRPr="00EE2F94" w:rsidRDefault="00116FD0">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2B6926">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施策名③</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平和資料室特別展</w:t>
            </w:r>
          </w:p>
        </w:tc>
      </w:tr>
      <w:tr w:rsidR="00F6477C" w:rsidRPr="00EE2F94" w:rsidTr="002B6926">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戦争の体験や記憶を風化させないよう、児童の夏休み期間中に合わせ、戦争や平和に関するパネル展を開催している。なお、通年で、禁野火薬庫の大爆発等の常設展示を行っている。</w:t>
            </w:r>
          </w:p>
        </w:tc>
      </w:tr>
      <w:tr w:rsidR="00EF212B" w:rsidRPr="00EE2F94" w:rsidTr="002B6926">
        <w:trPr>
          <w:trHeight w:val="510"/>
        </w:trPr>
        <w:tc>
          <w:tcPr>
            <w:tcW w:w="1276" w:type="dxa"/>
            <w:tcBorders>
              <w:top w:val="dotted" w:sz="4" w:space="0" w:color="auto"/>
              <w:bottom w:val="single" w:sz="4" w:space="0" w:color="auto"/>
            </w:tcBorders>
            <w:vAlign w:val="center"/>
          </w:tcPr>
          <w:p w:rsidR="00EF212B" w:rsidRPr="00EE2F94" w:rsidRDefault="00FD7AB1" w:rsidP="002B6926">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EF212B" w:rsidRPr="00EE2F94" w:rsidRDefault="00EF212B" w:rsidP="002B6926">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116FD0" w:rsidRPr="00EE2F94" w:rsidRDefault="00116FD0">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2B6926">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施策名④</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平和ライブラリーコンサート</w:t>
            </w:r>
          </w:p>
        </w:tc>
      </w:tr>
      <w:tr w:rsidR="00F6477C" w:rsidRPr="00EE2F94" w:rsidTr="002B6926">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毎年春と夏の２回、平和の大切さを伝える取り組みの一環として、中央図書館１階美杉会グループエントランスホールでコンサートを行っている。</w:t>
            </w:r>
          </w:p>
        </w:tc>
      </w:tr>
      <w:tr w:rsidR="00EF212B" w:rsidRPr="00EE2F94" w:rsidTr="002B6926">
        <w:trPr>
          <w:trHeight w:val="510"/>
        </w:trPr>
        <w:tc>
          <w:tcPr>
            <w:tcW w:w="1276" w:type="dxa"/>
            <w:tcBorders>
              <w:top w:val="dotted" w:sz="4" w:space="0" w:color="auto"/>
              <w:bottom w:val="single" w:sz="4" w:space="0" w:color="auto"/>
            </w:tcBorders>
            <w:vAlign w:val="center"/>
          </w:tcPr>
          <w:p w:rsidR="00EF212B" w:rsidRPr="00EE2F94" w:rsidRDefault="00FD7AB1" w:rsidP="002B6926">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EF212B" w:rsidRPr="00EE2F94" w:rsidRDefault="00EF212B" w:rsidP="002B6926">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EF212B" w:rsidRPr="00EE2F94" w:rsidRDefault="00EF212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2B6926">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施策名⑤</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市内の戦争遺跡ウォーキングツアー</w:t>
            </w:r>
          </w:p>
        </w:tc>
      </w:tr>
      <w:tr w:rsidR="00F6477C" w:rsidRPr="00EE2F94" w:rsidTr="002B6926">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かつて軍需のまちであった本市の歴史を風化させることなく広く市民へ周知し、戦争の悲惨さや平和の尊さを改めて考える機会とするため、市内に残る戦争遺跡等を巡る。</w:t>
            </w:r>
          </w:p>
        </w:tc>
      </w:tr>
      <w:tr w:rsidR="00EF212B" w:rsidRPr="00EE2F94" w:rsidTr="002B6926">
        <w:trPr>
          <w:trHeight w:val="510"/>
        </w:trPr>
        <w:tc>
          <w:tcPr>
            <w:tcW w:w="1276" w:type="dxa"/>
            <w:tcBorders>
              <w:top w:val="dotted" w:sz="4" w:space="0" w:color="auto"/>
              <w:bottom w:val="single" w:sz="4" w:space="0" w:color="auto"/>
            </w:tcBorders>
            <w:vAlign w:val="center"/>
          </w:tcPr>
          <w:p w:rsidR="00EF212B" w:rsidRPr="00EE2F94" w:rsidRDefault="00FD7AB1" w:rsidP="002B6926">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EF212B" w:rsidRPr="00EE2F94" w:rsidRDefault="00EF212B" w:rsidP="002B6926">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EF212B" w:rsidRPr="00EE2F94" w:rsidRDefault="00EF212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2B6926">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施策名⑥</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枚方市平和の燈火（あかり）</w:t>
            </w:r>
          </w:p>
        </w:tc>
      </w:tr>
      <w:tr w:rsidR="00F6477C" w:rsidRPr="00EE2F94" w:rsidTr="002B6926">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EE2F94">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平成22（2010）</w:t>
            </w:r>
            <w:r w:rsidR="00EE2F94" w:rsidRPr="00EE2F94">
              <w:rPr>
                <w:rFonts w:ascii="游ゴシック" w:eastAsia="游ゴシック" w:hAnsi="游ゴシック" w:hint="eastAsia"/>
                <w:color w:val="000000"/>
                <w:szCs w:val="21"/>
              </w:rPr>
              <w:t>年度</w:t>
            </w:r>
            <w:r w:rsidRPr="00EE2F94">
              <w:rPr>
                <w:rFonts w:ascii="游ゴシック" w:eastAsia="游ゴシック" w:hAnsi="游ゴシック" w:hint="eastAsia"/>
                <w:color w:val="000000"/>
                <w:szCs w:val="21"/>
              </w:rPr>
              <w:t>に実施した「ランタン灯路」について、平成23（2011）</w:t>
            </w:r>
            <w:r w:rsidR="00EE2F94" w:rsidRPr="00EE2F94">
              <w:rPr>
                <w:rFonts w:ascii="游ゴシック" w:eastAsia="游ゴシック" w:hAnsi="游ゴシック" w:hint="eastAsia"/>
                <w:color w:val="000000"/>
                <w:szCs w:val="21"/>
              </w:rPr>
              <w:t>年度</w:t>
            </w:r>
            <w:r w:rsidRPr="00EE2F94">
              <w:rPr>
                <w:rFonts w:ascii="游ゴシック" w:eastAsia="游ゴシック" w:hAnsi="游ゴシック" w:hint="eastAsia"/>
                <w:color w:val="000000"/>
                <w:szCs w:val="21"/>
              </w:rPr>
              <w:t>から「平和の燈火（あかり）事業」として実施。枚方市・枚方市教育委員会の共催事業。</w:t>
            </w:r>
            <w:r w:rsidRPr="00EE2F94">
              <w:rPr>
                <w:rFonts w:ascii="游ゴシック" w:eastAsia="游ゴシック" w:hAnsi="游ゴシック" w:hint="eastAsia"/>
                <w:color w:val="000000"/>
                <w:szCs w:val="21"/>
              </w:rPr>
              <w:br/>
              <w:t>平成24（2012）</w:t>
            </w:r>
            <w:r w:rsidR="00EE2F94" w:rsidRPr="00EE2F94">
              <w:rPr>
                <w:rFonts w:ascii="游ゴシック" w:eastAsia="游ゴシック" w:hAnsi="游ゴシック" w:hint="eastAsia"/>
                <w:color w:val="000000"/>
                <w:szCs w:val="21"/>
              </w:rPr>
              <w:t>年度</w:t>
            </w:r>
            <w:r w:rsidRPr="00EE2F94">
              <w:rPr>
                <w:rFonts w:ascii="游ゴシック" w:eastAsia="游ゴシック" w:hAnsi="游ゴシック" w:hint="eastAsia"/>
                <w:color w:val="000000"/>
                <w:szCs w:val="21"/>
              </w:rPr>
              <w:t>からは、市内大学等を中心とした実行委員会形式で実施している。</w:t>
            </w:r>
            <w:r w:rsidR="00EE2F94">
              <w:rPr>
                <w:rFonts w:ascii="游ゴシック" w:eastAsia="游ゴシック" w:hAnsi="游ゴシック"/>
                <w:color w:val="000000"/>
                <w:szCs w:val="21"/>
              </w:rPr>
              <w:br/>
            </w:r>
            <w:r w:rsidRPr="00EE2F94">
              <w:rPr>
                <w:rFonts w:ascii="游ゴシック" w:eastAsia="游ゴシック" w:hAnsi="游ゴシック" w:hint="eastAsia"/>
                <w:color w:val="000000"/>
                <w:szCs w:val="21"/>
              </w:rPr>
              <w:t>市内小学生や市民の作成したメッセージカップをキャンドルカップにして点灯する他、立体造形物の制作・展示、イベントや会場内のブース設置等を行う。</w:t>
            </w:r>
          </w:p>
        </w:tc>
      </w:tr>
      <w:tr w:rsidR="00EF212B" w:rsidRPr="00EE2F94" w:rsidTr="002B6926">
        <w:trPr>
          <w:trHeight w:val="510"/>
        </w:trPr>
        <w:tc>
          <w:tcPr>
            <w:tcW w:w="1276" w:type="dxa"/>
            <w:tcBorders>
              <w:top w:val="dotted" w:sz="4" w:space="0" w:color="auto"/>
              <w:bottom w:val="single" w:sz="4" w:space="0" w:color="auto"/>
            </w:tcBorders>
            <w:vAlign w:val="center"/>
          </w:tcPr>
          <w:p w:rsidR="00EF212B" w:rsidRPr="00EE2F94" w:rsidRDefault="00FD7AB1" w:rsidP="002B6926">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EF212B" w:rsidRPr="00EE2F94" w:rsidRDefault="00EF212B" w:rsidP="002B6926">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F6477C" w:rsidRPr="00EE2F94" w:rsidRDefault="00F6477C" w:rsidP="003C3BA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053745">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施策名⑦</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ひらかた平和フォーラム</w:t>
            </w:r>
          </w:p>
        </w:tc>
      </w:tr>
      <w:tr w:rsidR="00F6477C" w:rsidRPr="00EE2F94" w:rsidTr="00053745">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核兵器の恐ろしさ、戦争の悲惨さ、平和の尊さを次世代を担う子どもたちに引き継ぐため、教育委員会との連携を図り、平和メッセージを発信する取り組み（講演会等）を実施する。</w:t>
            </w:r>
          </w:p>
        </w:tc>
      </w:tr>
      <w:tr w:rsidR="003C3BAB" w:rsidRPr="00EE2F94" w:rsidTr="00053745">
        <w:trPr>
          <w:trHeight w:val="510"/>
        </w:trPr>
        <w:tc>
          <w:tcPr>
            <w:tcW w:w="1276" w:type="dxa"/>
            <w:tcBorders>
              <w:top w:val="dotted" w:sz="4" w:space="0" w:color="auto"/>
              <w:bottom w:val="single" w:sz="4" w:space="0" w:color="auto"/>
            </w:tcBorders>
            <w:vAlign w:val="center"/>
          </w:tcPr>
          <w:p w:rsidR="003C3BAB" w:rsidRPr="00EE2F94" w:rsidRDefault="00FD7AB1" w:rsidP="00053745">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3C3BAB" w:rsidRPr="00EE2F94" w:rsidRDefault="003C3BAB" w:rsidP="00053745">
            <w:pPr>
              <w:rPr>
                <w:rFonts w:ascii="游ゴシック" w:eastAsia="游ゴシック" w:hAnsi="游ゴシック"/>
                <w:szCs w:val="21"/>
              </w:rPr>
            </w:pPr>
            <w:r w:rsidRPr="00EE2F94">
              <w:rPr>
                <w:rFonts w:ascii="游ゴシック" w:eastAsia="游ゴシック" w:hAnsi="游ゴシック" w:hint="eastAsia"/>
                <w:szCs w:val="21"/>
              </w:rPr>
              <w:t>―</w:t>
            </w:r>
          </w:p>
        </w:tc>
      </w:tr>
    </w:tbl>
    <w:p w:rsidR="003C3BAB" w:rsidRPr="00EE2F94" w:rsidRDefault="003C3BAB" w:rsidP="003C3BA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053745">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施策名⑧</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枚方市平和（戦争遺跡）ガイドの配布</w:t>
            </w:r>
          </w:p>
        </w:tc>
      </w:tr>
      <w:tr w:rsidR="00F6477C" w:rsidRPr="00EE2F94" w:rsidTr="00053745">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平和学習や市内散策の促進のため、市内に点在する戦争遺跡や平和のモニュメント等をまとめたガイドマップを作成し、市民に配布する。</w:t>
            </w:r>
          </w:p>
        </w:tc>
      </w:tr>
      <w:tr w:rsidR="00F6477C" w:rsidRPr="00EE2F94" w:rsidTr="00053745">
        <w:trPr>
          <w:trHeight w:val="510"/>
        </w:trPr>
        <w:tc>
          <w:tcPr>
            <w:tcW w:w="1276" w:type="dxa"/>
            <w:tcBorders>
              <w:top w:val="dotted" w:sz="4" w:space="0" w:color="auto"/>
              <w:bottom w:val="single" w:sz="4" w:space="0" w:color="auto"/>
            </w:tcBorders>
            <w:vAlign w:val="center"/>
          </w:tcPr>
          <w:p w:rsidR="00F6477C" w:rsidRPr="00EE2F94" w:rsidRDefault="00FD7AB1" w:rsidP="00F6477C">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F6477C" w:rsidRPr="00EE2F94" w:rsidRDefault="003B0068" w:rsidP="00F6477C">
            <w:pPr>
              <w:rPr>
                <w:rFonts w:ascii="游ゴシック" w:eastAsia="游ゴシック" w:hAnsi="游ゴシック"/>
                <w:color w:val="000000"/>
                <w:szCs w:val="21"/>
              </w:rPr>
            </w:pPr>
            <w:hyperlink r:id="rId7" w:history="1">
              <w:r w:rsidR="00F6477C" w:rsidRPr="00EE2F94">
                <w:rPr>
                  <w:rStyle w:val="a4"/>
                  <w:rFonts w:ascii="游ゴシック" w:eastAsia="游ゴシック" w:hAnsi="游ゴシック" w:hint="eastAsia"/>
                  <w:szCs w:val="21"/>
                </w:rPr>
                <w:t>https://www.city.hirakata.osaka.jp/0000045958.html</w:t>
              </w:r>
            </w:hyperlink>
          </w:p>
        </w:tc>
      </w:tr>
    </w:tbl>
    <w:p w:rsidR="003C3BAB" w:rsidRPr="00EE2F94" w:rsidRDefault="003C3BAB" w:rsidP="003C3BA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F6477C" w:rsidRPr="00EE2F94" w:rsidTr="00053745">
        <w:trPr>
          <w:trHeight w:val="454"/>
        </w:trPr>
        <w:tc>
          <w:tcPr>
            <w:tcW w:w="1276" w:type="dxa"/>
            <w:tcBorders>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施策名⑨</w:t>
            </w:r>
          </w:p>
        </w:tc>
        <w:tc>
          <w:tcPr>
            <w:tcW w:w="8646" w:type="dxa"/>
            <w:tcBorders>
              <w:bottom w:val="dotted" w:sz="4" w:space="0" w:color="auto"/>
            </w:tcBorders>
            <w:vAlign w:val="center"/>
          </w:tcPr>
          <w:p w:rsidR="00F6477C" w:rsidRPr="00EE2F94" w:rsidRDefault="00F6477C" w:rsidP="00F6477C">
            <w:pPr>
              <w:widowControl/>
              <w:jc w:val="left"/>
              <w:rPr>
                <w:rFonts w:ascii="游ゴシック" w:eastAsia="游ゴシック" w:hAnsi="游ゴシック"/>
                <w:color w:val="000000"/>
                <w:szCs w:val="21"/>
              </w:rPr>
            </w:pPr>
            <w:r w:rsidRPr="00EE2F94">
              <w:rPr>
                <w:rFonts w:ascii="游ゴシック" w:eastAsia="游ゴシック" w:hAnsi="游ゴシック" w:hint="eastAsia"/>
                <w:color w:val="000000"/>
                <w:szCs w:val="21"/>
              </w:rPr>
              <w:t>人権・平和に関する視聴覚教材（DVD）貸出</w:t>
            </w:r>
          </w:p>
        </w:tc>
      </w:tr>
      <w:tr w:rsidR="00F6477C" w:rsidRPr="00EE2F94" w:rsidTr="00053745">
        <w:trPr>
          <w:trHeight w:val="454"/>
        </w:trPr>
        <w:tc>
          <w:tcPr>
            <w:tcW w:w="127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szCs w:val="21"/>
              </w:rPr>
            </w:pPr>
            <w:r w:rsidRPr="00EE2F94">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F6477C" w:rsidRPr="00EE2F94" w:rsidRDefault="00F6477C" w:rsidP="00F6477C">
            <w:pPr>
              <w:rPr>
                <w:rFonts w:ascii="游ゴシック" w:eastAsia="游ゴシック" w:hAnsi="游ゴシック"/>
                <w:color w:val="000000"/>
                <w:szCs w:val="21"/>
              </w:rPr>
            </w:pPr>
            <w:r w:rsidRPr="00EE2F94">
              <w:rPr>
                <w:rFonts w:ascii="游ゴシック" w:eastAsia="游ゴシック" w:hAnsi="游ゴシック" w:hint="eastAsia"/>
                <w:color w:val="000000"/>
                <w:szCs w:val="21"/>
              </w:rPr>
              <w:t>人権や平和への理解を深め、関心及び意識を高める学習活動や啓発活動の機会の拡充につなげるため、市民・団体等に対して人権や平和に関する視聴覚教材（DVD）の貸出（無料）を行っている。</w:t>
            </w:r>
          </w:p>
        </w:tc>
      </w:tr>
      <w:tr w:rsidR="00F6477C" w:rsidRPr="00EE2F94" w:rsidTr="00053745">
        <w:trPr>
          <w:trHeight w:val="510"/>
        </w:trPr>
        <w:tc>
          <w:tcPr>
            <w:tcW w:w="1276" w:type="dxa"/>
            <w:tcBorders>
              <w:top w:val="dotted" w:sz="4" w:space="0" w:color="auto"/>
              <w:bottom w:val="single" w:sz="4" w:space="0" w:color="auto"/>
            </w:tcBorders>
            <w:vAlign w:val="center"/>
          </w:tcPr>
          <w:p w:rsidR="00F6477C" w:rsidRPr="00EE2F94" w:rsidRDefault="00FD7AB1" w:rsidP="00F6477C">
            <w:pPr>
              <w:rPr>
                <w:rFonts w:ascii="游ゴシック" w:eastAsia="游ゴシック" w:hAnsi="游ゴシック"/>
                <w:szCs w:val="21"/>
              </w:rPr>
            </w:pPr>
            <w:r>
              <w:rPr>
                <w:rFonts w:ascii="游ゴシック" w:eastAsia="游ゴシック" w:hAnsi="游ゴシック" w:hint="eastAsia"/>
                <w:kern w:val="0"/>
              </w:rPr>
              <w:t>HP</w:t>
            </w:r>
          </w:p>
        </w:tc>
        <w:tc>
          <w:tcPr>
            <w:tcW w:w="8646" w:type="dxa"/>
            <w:tcBorders>
              <w:top w:val="dotted" w:sz="4" w:space="0" w:color="auto"/>
              <w:bottom w:val="single" w:sz="4" w:space="0" w:color="auto"/>
            </w:tcBorders>
            <w:vAlign w:val="center"/>
          </w:tcPr>
          <w:p w:rsidR="00F6477C" w:rsidRPr="00EE2F94" w:rsidRDefault="003B0068" w:rsidP="00F6477C">
            <w:pPr>
              <w:rPr>
                <w:rFonts w:ascii="游ゴシック" w:eastAsia="游ゴシック" w:hAnsi="游ゴシック"/>
                <w:color w:val="000000"/>
                <w:szCs w:val="21"/>
              </w:rPr>
            </w:pPr>
            <w:hyperlink r:id="rId8" w:history="1">
              <w:r w:rsidR="00F6477C" w:rsidRPr="00EE2F94">
                <w:rPr>
                  <w:rStyle w:val="a4"/>
                  <w:rFonts w:ascii="游ゴシック" w:eastAsia="游ゴシック" w:hAnsi="游ゴシック" w:hint="eastAsia"/>
                  <w:szCs w:val="21"/>
                </w:rPr>
                <w:t>https://www.city.hirakata.osaka.jp/0000022276.html</w:t>
              </w:r>
            </w:hyperlink>
          </w:p>
        </w:tc>
      </w:tr>
    </w:tbl>
    <w:p w:rsidR="00EF212B" w:rsidRPr="00EE2F94" w:rsidRDefault="00EF212B">
      <w:pPr>
        <w:rPr>
          <w:rFonts w:ascii="游ゴシック" w:eastAsia="游ゴシック" w:hAnsi="游ゴシック"/>
          <w:szCs w:val="21"/>
        </w:rPr>
      </w:pPr>
    </w:p>
    <w:p w:rsidR="003C3BAB" w:rsidRPr="00EE2F94" w:rsidRDefault="003C3BAB">
      <w:pPr>
        <w:rPr>
          <w:rFonts w:ascii="游ゴシック" w:eastAsia="游ゴシック" w:hAnsi="游ゴシック"/>
          <w:szCs w:val="21"/>
        </w:rPr>
      </w:pPr>
    </w:p>
    <w:p w:rsidR="003C3BAB" w:rsidRPr="00EE2F94" w:rsidRDefault="003C3BAB">
      <w:pPr>
        <w:rPr>
          <w:rFonts w:ascii="游ゴシック" w:eastAsia="游ゴシック" w:hAnsi="游ゴシック"/>
          <w:szCs w:val="21"/>
        </w:rPr>
      </w:pPr>
    </w:p>
    <w:sectPr w:rsidR="003C3BAB" w:rsidRPr="00EE2F94" w:rsidSect="00284708">
      <w:headerReference w:type="default" r:id="rId9"/>
      <w:pgSz w:w="11906" w:h="16838"/>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3C" w:rsidRDefault="00EF133C" w:rsidP="00D50417">
      <w:r>
        <w:separator/>
      </w:r>
    </w:p>
  </w:endnote>
  <w:endnote w:type="continuationSeparator" w:id="0">
    <w:p w:rsidR="00EF133C" w:rsidRDefault="00EF133C" w:rsidP="00D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3C" w:rsidRDefault="00EF133C" w:rsidP="00D50417">
      <w:r>
        <w:separator/>
      </w:r>
    </w:p>
  </w:footnote>
  <w:footnote w:type="continuationSeparator" w:id="0">
    <w:p w:rsidR="00EF133C" w:rsidRDefault="00EF133C" w:rsidP="00D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068" w:rsidRDefault="003B0068" w:rsidP="003B0068">
    <w:pPr>
      <w:jc w:val="right"/>
      <w:rPr>
        <w:rFonts w:ascii="UD デジタル 教科書体 NP-B" w:eastAsia="UD デジタル 教科書体 NP-B" w:hAnsi="游ゴシック"/>
        <w:b/>
        <w:bCs/>
        <w:sz w:val="22"/>
        <w:szCs w:val="24"/>
      </w:rPr>
    </w:pPr>
    <w:r>
      <w:rPr>
        <w:rFonts w:ascii="UD デジタル 教科書体 NP-B" w:eastAsia="UD デジタル 教科書体 NP-B" w:hAnsi="游ゴシック" w:hint="eastAsia"/>
        <w:b/>
        <w:bCs/>
        <w:sz w:val="22"/>
        <w:szCs w:val="24"/>
      </w:rPr>
      <w:t>R5.2月現在</w:t>
    </w:r>
  </w:p>
  <w:p w:rsidR="00EF133C" w:rsidRPr="00001FF6" w:rsidRDefault="00AB64D6" w:rsidP="00D50417">
    <w:pPr>
      <w:rPr>
        <w:rFonts w:ascii="UD デジタル 教科書体 NP-B" w:eastAsia="UD デジタル 教科書体 NP-B" w:hAnsi="游ゴシック"/>
        <w:b/>
        <w:bCs/>
        <w:sz w:val="22"/>
        <w:szCs w:val="24"/>
        <w:bdr w:val="single" w:sz="4" w:space="0" w:color="auto"/>
      </w:rPr>
    </w:pPr>
    <w:r w:rsidRPr="00001FF6">
      <w:rPr>
        <w:rFonts w:ascii="UD デジタル 教科書体 NP-B" w:eastAsia="UD デジタル 教科書体 NP-B" w:hAnsi="游ゴシック" w:hint="eastAsia"/>
        <w:b/>
        <w:bCs/>
        <w:sz w:val="22"/>
        <w:szCs w:val="24"/>
        <w:bdr w:val="single" w:sz="4" w:space="0" w:color="auto"/>
      </w:rPr>
      <w:t>市町村の</w:t>
    </w:r>
    <w:r w:rsidR="00001FF6" w:rsidRPr="00001FF6">
      <w:rPr>
        <w:rFonts w:ascii="UD デジタル 教科書体 NP-B" w:eastAsia="UD デジタル 教科書体 NP-B" w:hAnsi="游ゴシック" w:hint="eastAsia"/>
        <w:b/>
        <w:bCs/>
        <w:sz w:val="22"/>
        <w:szCs w:val="24"/>
        <w:bdr w:val="single" w:sz="4" w:space="0" w:color="auto"/>
      </w:rPr>
      <w:t>平和</w:t>
    </w:r>
    <w:r w:rsidR="00116FD0">
      <w:rPr>
        <w:rFonts w:ascii="UD デジタル 教科書体 NP-B" w:eastAsia="UD デジタル 教科書体 NP-B" w:hAnsi="游ゴシック" w:hint="eastAsia"/>
        <w:b/>
        <w:bCs/>
        <w:sz w:val="22"/>
        <w:szCs w:val="24"/>
        <w:bdr w:val="single" w:sz="4" w:space="0" w:color="auto"/>
      </w:rPr>
      <w:t>関係施策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7"/>
    <w:rsid w:val="00001FF6"/>
    <w:rsid w:val="0001299C"/>
    <w:rsid w:val="00013639"/>
    <w:rsid w:val="00013EFB"/>
    <w:rsid w:val="000725C3"/>
    <w:rsid w:val="00074059"/>
    <w:rsid w:val="00075B1A"/>
    <w:rsid w:val="00085A73"/>
    <w:rsid w:val="00087308"/>
    <w:rsid w:val="000B2032"/>
    <w:rsid w:val="000B3990"/>
    <w:rsid w:val="000C5ED6"/>
    <w:rsid w:val="0011151D"/>
    <w:rsid w:val="00116FD0"/>
    <w:rsid w:val="00131383"/>
    <w:rsid w:val="0014506C"/>
    <w:rsid w:val="0018275B"/>
    <w:rsid w:val="00193DAC"/>
    <w:rsid w:val="001A40D6"/>
    <w:rsid w:val="00235393"/>
    <w:rsid w:val="002512B3"/>
    <w:rsid w:val="00267AA1"/>
    <w:rsid w:val="00284708"/>
    <w:rsid w:val="002C3B89"/>
    <w:rsid w:val="002F60B3"/>
    <w:rsid w:val="003A3258"/>
    <w:rsid w:val="003A64E6"/>
    <w:rsid w:val="003B0068"/>
    <w:rsid w:val="003C3AD5"/>
    <w:rsid w:val="003C3BAB"/>
    <w:rsid w:val="00440F68"/>
    <w:rsid w:val="004436EE"/>
    <w:rsid w:val="00465387"/>
    <w:rsid w:val="0049228D"/>
    <w:rsid w:val="0049415E"/>
    <w:rsid w:val="0049562D"/>
    <w:rsid w:val="004B672E"/>
    <w:rsid w:val="00536786"/>
    <w:rsid w:val="005419CA"/>
    <w:rsid w:val="005569DA"/>
    <w:rsid w:val="005619C4"/>
    <w:rsid w:val="0056302D"/>
    <w:rsid w:val="0056630E"/>
    <w:rsid w:val="00580559"/>
    <w:rsid w:val="0058638F"/>
    <w:rsid w:val="005866AF"/>
    <w:rsid w:val="005C70A1"/>
    <w:rsid w:val="00633E59"/>
    <w:rsid w:val="00636DD9"/>
    <w:rsid w:val="006449C9"/>
    <w:rsid w:val="00661C83"/>
    <w:rsid w:val="006B1F1B"/>
    <w:rsid w:val="006C1F98"/>
    <w:rsid w:val="006C2B45"/>
    <w:rsid w:val="006C797B"/>
    <w:rsid w:val="006D61B7"/>
    <w:rsid w:val="007609C7"/>
    <w:rsid w:val="00776A62"/>
    <w:rsid w:val="007B0D88"/>
    <w:rsid w:val="007B7B3C"/>
    <w:rsid w:val="007C60CC"/>
    <w:rsid w:val="0081533F"/>
    <w:rsid w:val="008A238C"/>
    <w:rsid w:val="008B1C8A"/>
    <w:rsid w:val="00A111CF"/>
    <w:rsid w:val="00A20C0A"/>
    <w:rsid w:val="00A50A96"/>
    <w:rsid w:val="00A70E96"/>
    <w:rsid w:val="00A71A75"/>
    <w:rsid w:val="00A825BB"/>
    <w:rsid w:val="00AA3ABD"/>
    <w:rsid w:val="00AB64D6"/>
    <w:rsid w:val="00B2637F"/>
    <w:rsid w:val="00B42CEB"/>
    <w:rsid w:val="00BA1040"/>
    <w:rsid w:val="00C10C37"/>
    <w:rsid w:val="00CB5449"/>
    <w:rsid w:val="00CF239E"/>
    <w:rsid w:val="00D158BF"/>
    <w:rsid w:val="00D50417"/>
    <w:rsid w:val="00D6114D"/>
    <w:rsid w:val="00D67C4D"/>
    <w:rsid w:val="00D87DCD"/>
    <w:rsid w:val="00D94FFA"/>
    <w:rsid w:val="00DD50A3"/>
    <w:rsid w:val="00DE3033"/>
    <w:rsid w:val="00E17F35"/>
    <w:rsid w:val="00E47F35"/>
    <w:rsid w:val="00E721F4"/>
    <w:rsid w:val="00E85F39"/>
    <w:rsid w:val="00EA2119"/>
    <w:rsid w:val="00EA34F9"/>
    <w:rsid w:val="00ED77DD"/>
    <w:rsid w:val="00EE2F94"/>
    <w:rsid w:val="00EF133C"/>
    <w:rsid w:val="00EF212B"/>
    <w:rsid w:val="00F15104"/>
    <w:rsid w:val="00F46BBD"/>
    <w:rsid w:val="00F6477C"/>
    <w:rsid w:val="00FC008F"/>
    <w:rsid w:val="00FD7AB1"/>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BA3FFC87-AD00-4C17-A90C-97A3224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1F98"/>
    <w:rPr>
      <w:color w:val="0563C1" w:themeColor="hyperlink"/>
      <w:u w:val="single"/>
    </w:rPr>
  </w:style>
  <w:style w:type="character" w:styleId="a5">
    <w:name w:val="FollowedHyperlink"/>
    <w:basedOn w:val="a0"/>
    <w:uiPriority w:val="99"/>
    <w:semiHidden/>
    <w:unhideWhenUsed/>
    <w:rsid w:val="00CF239E"/>
    <w:rPr>
      <w:color w:val="954F72" w:themeColor="followedHyperlink"/>
      <w:u w:val="single"/>
    </w:rPr>
  </w:style>
  <w:style w:type="paragraph" w:styleId="a6">
    <w:name w:val="header"/>
    <w:basedOn w:val="a"/>
    <w:link w:val="a7"/>
    <w:uiPriority w:val="99"/>
    <w:unhideWhenUsed/>
    <w:rsid w:val="00D50417"/>
    <w:pPr>
      <w:tabs>
        <w:tab w:val="center" w:pos="4252"/>
        <w:tab w:val="right" w:pos="8504"/>
      </w:tabs>
      <w:snapToGrid w:val="0"/>
    </w:pPr>
  </w:style>
  <w:style w:type="character" w:customStyle="1" w:styleId="a7">
    <w:name w:val="ヘッダー (文字)"/>
    <w:basedOn w:val="a0"/>
    <w:link w:val="a6"/>
    <w:uiPriority w:val="99"/>
    <w:rsid w:val="00D50417"/>
  </w:style>
  <w:style w:type="paragraph" w:styleId="a8">
    <w:name w:val="footer"/>
    <w:basedOn w:val="a"/>
    <w:link w:val="a9"/>
    <w:uiPriority w:val="99"/>
    <w:unhideWhenUsed/>
    <w:rsid w:val="00D50417"/>
    <w:pPr>
      <w:tabs>
        <w:tab w:val="center" w:pos="4252"/>
        <w:tab w:val="right" w:pos="8504"/>
      </w:tabs>
      <w:snapToGrid w:val="0"/>
    </w:pPr>
  </w:style>
  <w:style w:type="character" w:customStyle="1" w:styleId="a9">
    <w:name w:val="フッター (文字)"/>
    <w:basedOn w:val="a0"/>
    <w:link w:val="a8"/>
    <w:uiPriority w:val="99"/>
    <w:rsid w:val="00D5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irakata.osaka.jp/0000022276.html" TargetMode="External"/><Relationship Id="rId3" Type="http://schemas.openxmlformats.org/officeDocument/2006/relationships/settings" Target="settings.xml"/><Relationship Id="rId7" Type="http://schemas.openxmlformats.org/officeDocument/2006/relationships/hyperlink" Target="https://www.city.hirakata.osaka.jp/000004595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A6C34-9493-4A7D-A14D-DF5F6DE9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合田　美穂</dc:creator>
  <cp:keywords/>
  <dc:description/>
  <cp:lastModifiedBy>合田　美穂</cp:lastModifiedBy>
  <cp:revision>7</cp:revision>
  <dcterms:created xsi:type="dcterms:W3CDTF">2023-01-31T02:10:00Z</dcterms:created>
  <dcterms:modified xsi:type="dcterms:W3CDTF">2023-03-02T08:19:00Z</dcterms:modified>
</cp:coreProperties>
</file>