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64" w:rsidRPr="00167487" w:rsidRDefault="007C5956">
      <w:pPr>
        <w:rPr>
          <w:rFonts w:asciiTheme="majorEastAsia" w:eastAsiaTheme="majorEastAsia" w:hAnsiTheme="majorEastAsia"/>
          <w:color w:val="000000" w:themeColor="text1"/>
          <w:sz w:val="24"/>
          <w:szCs w:val="24"/>
        </w:rPr>
      </w:pPr>
      <w:r w:rsidRPr="00167487">
        <w:rPr>
          <w:rFonts w:asciiTheme="majorEastAsia" w:eastAsiaTheme="majorEastAsia" w:hAnsiTheme="majorEastAsia" w:hint="eastAsia"/>
          <w:color w:val="000000" w:themeColor="text1"/>
          <w:sz w:val="24"/>
          <w:szCs w:val="24"/>
        </w:rPr>
        <w:t>「</w:t>
      </w:r>
      <w:r w:rsidR="007F62A8" w:rsidRPr="00167487">
        <w:rPr>
          <w:rFonts w:asciiTheme="majorEastAsia" w:eastAsiaTheme="majorEastAsia" w:hAnsiTheme="majorEastAsia" w:hint="eastAsia"/>
          <w:color w:val="000000" w:themeColor="text1"/>
          <w:sz w:val="24"/>
          <w:szCs w:val="24"/>
        </w:rPr>
        <w:t>大阪府言語としての手話の認識の普及及び習得の機会の確保に関する条例</w:t>
      </w:r>
      <w:r w:rsidRPr="00167487">
        <w:rPr>
          <w:rFonts w:asciiTheme="majorEastAsia" w:eastAsiaTheme="majorEastAsia" w:hAnsiTheme="majorEastAsia" w:hint="eastAsia"/>
          <w:color w:val="000000" w:themeColor="text1"/>
          <w:sz w:val="24"/>
          <w:szCs w:val="24"/>
        </w:rPr>
        <w:t>」について</w:t>
      </w:r>
    </w:p>
    <w:tbl>
      <w:tblPr>
        <w:tblStyle w:val="a3"/>
        <w:tblW w:w="0" w:type="auto"/>
        <w:tblLook w:val="04A0" w:firstRow="1" w:lastRow="0" w:firstColumn="1" w:lastColumn="0" w:noHBand="0" w:noVBand="1"/>
      </w:tblPr>
      <w:tblGrid>
        <w:gridCol w:w="10314"/>
        <w:gridCol w:w="11907"/>
      </w:tblGrid>
      <w:tr w:rsidR="00E523D2" w:rsidRPr="00167487" w:rsidTr="00E523D2">
        <w:tc>
          <w:tcPr>
            <w:tcW w:w="10314" w:type="dxa"/>
          </w:tcPr>
          <w:p w:rsidR="00E523D2" w:rsidRPr="00167487" w:rsidRDefault="00C4069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条文</w:t>
            </w:r>
            <w:bookmarkStart w:id="0" w:name="_GoBack"/>
            <w:bookmarkEnd w:id="0"/>
          </w:p>
        </w:tc>
        <w:tc>
          <w:tcPr>
            <w:tcW w:w="11907" w:type="dxa"/>
          </w:tcPr>
          <w:p w:rsidR="00E523D2" w:rsidRPr="00167487" w:rsidRDefault="00E523D2">
            <w:pPr>
              <w:rPr>
                <w:rFonts w:asciiTheme="majorEastAsia" w:eastAsiaTheme="majorEastAsia" w:hAnsiTheme="majorEastAsia"/>
                <w:color w:val="000000" w:themeColor="text1"/>
                <w:sz w:val="24"/>
                <w:szCs w:val="24"/>
              </w:rPr>
            </w:pPr>
            <w:r w:rsidRPr="00167487">
              <w:rPr>
                <w:rFonts w:asciiTheme="majorEastAsia" w:eastAsiaTheme="majorEastAsia" w:hAnsiTheme="majorEastAsia" w:hint="eastAsia"/>
                <w:color w:val="000000" w:themeColor="text1"/>
                <w:sz w:val="24"/>
                <w:szCs w:val="24"/>
              </w:rPr>
              <w:t>逐条解説</w:t>
            </w:r>
          </w:p>
        </w:tc>
      </w:tr>
      <w:tr w:rsidR="00E523D2" w:rsidRPr="00167487" w:rsidTr="00E523D2">
        <w:tc>
          <w:tcPr>
            <w:tcW w:w="10314" w:type="dxa"/>
          </w:tcPr>
          <w:p w:rsidR="00E523D2" w:rsidRPr="00167487" w:rsidRDefault="00E523D2" w:rsidP="004E4BE5">
            <w:pPr>
              <w:rPr>
                <w:color w:val="000000" w:themeColor="text1"/>
                <w:sz w:val="24"/>
                <w:szCs w:val="24"/>
              </w:rPr>
            </w:pPr>
            <w:r w:rsidRPr="00167487">
              <w:rPr>
                <w:rFonts w:hint="eastAsia"/>
                <w:color w:val="000000" w:themeColor="text1"/>
                <w:sz w:val="24"/>
                <w:szCs w:val="24"/>
              </w:rPr>
              <w:t>（目的）</w:t>
            </w:r>
          </w:p>
          <w:p w:rsidR="00E523D2" w:rsidRPr="00167487" w:rsidRDefault="00E523D2" w:rsidP="00B865F5">
            <w:pPr>
              <w:ind w:left="240" w:hangingChars="100" w:hanging="240"/>
              <w:rPr>
                <w:color w:val="000000" w:themeColor="text1"/>
                <w:sz w:val="24"/>
                <w:szCs w:val="24"/>
              </w:rPr>
            </w:pPr>
            <w:r w:rsidRPr="00B865F5">
              <w:rPr>
                <w:rFonts w:hint="eastAsia"/>
                <w:color w:val="000000" w:themeColor="text1"/>
                <w:sz w:val="24"/>
                <w:szCs w:val="24"/>
              </w:rPr>
              <w:t>第一条　この条例は、障害者基本法（昭和四十五年法律第八十四号）第三条第三号の規定により手話が言語とされているにもかかわらず、そのことが府民に十分に認識されていないこと、及びそのことにより手話を習得することのできる機会が十分に確保されていないことに鑑み、言語としての手話の認識の普及及び習得の機会の確保に関し必要な事項を定めることにより、手話が言語であるという認識の下、聴覚に障害のある者（以下「聴覚障害者」という。）のほか、聴覚障害者と共に生活し、学び、又は働く者が手話を習得し、もって府民がより多くの機会で手話を使用することのできる社会の実現に寄与することを目的とする。</w:t>
            </w:r>
          </w:p>
        </w:tc>
        <w:tc>
          <w:tcPr>
            <w:tcW w:w="11907" w:type="dxa"/>
          </w:tcPr>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手話は、障害者基本法において、「言語（手話を含む。）」と明記されており、明確に言語である。同法においては、言語を含めた障がい者の「意思疎通の手段として選択できる機会の拡大」について規定されているに過ぎず、「手話が言語である」という認識の普及に資するものではない。</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言語としての社会での扱いを受けるには、①言語として多くの人に認識され、②習得する機会が確保され、もって、③より多くの機会で手話を使用することのできる社会的環境が確保されていることが必要である。</w:t>
            </w:r>
          </w:p>
          <w:p w:rsidR="00E523D2" w:rsidRPr="00167487" w:rsidRDefault="00E523D2" w:rsidP="00A45BFC">
            <w:pPr>
              <w:ind w:left="240" w:hangingChars="100" w:hanging="240"/>
              <w:rPr>
                <w:color w:val="000000" w:themeColor="text1"/>
                <w:sz w:val="24"/>
                <w:szCs w:val="24"/>
              </w:rPr>
            </w:pPr>
            <w:r w:rsidRPr="00167487">
              <w:rPr>
                <w:rFonts w:hint="eastAsia"/>
                <w:color w:val="000000" w:themeColor="text1"/>
                <w:sz w:val="24"/>
                <w:szCs w:val="24"/>
              </w:rPr>
              <w:t>・しかしながら、「①認識」については、府の実施した調査の結果、手話が言語であることについて認識を持つ府民の割合は</w:t>
            </w:r>
            <w:r w:rsidRPr="00167487">
              <w:rPr>
                <w:rFonts w:hint="eastAsia"/>
                <w:color w:val="000000" w:themeColor="text1"/>
                <w:sz w:val="24"/>
                <w:szCs w:val="24"/>
              </w:rPr>
              <w:t>39.8</w:t>
            </w:r>
            <w:r w:rsidRPr="00167487">
              <w:rPr>
                <w:rFonts w:hint="eastAsia"/>
                <w:color w:val="000000" w:themeColor="text1"/>
                <w:sz w:val="24"/>
                <w:szCs w:val="24"/>
              </w:rPr>
              <w:t>％と低く、当該認識が府民に行き渡っていない状況にある。</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②習得の機会」については、言語は本来、誰からも教わらずとも、乳幼児期に自然に習得されるが、家族等が手話を使えない場合は、自然習得できず、言語能力の発達に支障を生ずる可能性がある。しかし、手話の自然習得の機会を確保するための法律等はない。</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さらに、言語は、学校の教育課程において文法力や語彙力を高める機会が確保されるが、学習指導要領（特別支援学校）には、視覚に障がいのある児童や生徒に点字を指導・習得させる旨の記載はあるにもかかわらず、聴覚に障がいのある児童や生徒に手話を指導・習得させる旨の記載がない。</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・このように、聴覚に障がいのある者のほか、当該者と共に生活し、学び、又は働く者が手話を習得するための機会を都道府県が確保する法律や法律に基づく制度は存在しない。</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・その結果、聴覚に障がいのある者が、手話通訳によらずとも、手話で意思疎通のできる社会的環境が整っていない。</w:t>
            </w:r>
          </w:p>
          <w:p w:rsidR="00E523D2" w:rsidRPr="00167487" w:rsidRDefault="00E523D2" w:rsidP="00507DA9">
            <w:pPr>
              <w:ind w:left="240" w:hangingChars="100" w:hanging="240"/>
              <w:rPr>
                <w:color w:val="000000" w:themeColor="text1"/>
                <w:sz w:val="24"/>
                <w:szCs w:val="24"/>
              </w:rPr>
            </w:pPr>
            <w:r w:rsidRPr="00167487">
              <w:rPr>
                <w:rFonts w:hint="eastAsia"/>
                <w:color w:val="000000" w:themeColor="text1"/>
                <w:sz w:val="24"/>
                <w:szCs w:val="24"/>
              </w:rPr>
              <w:t>・また、上述の手話等の意思疎通の手段の確保・拡大を図るべきことは、共生社会実現のための基本原則とされ、地方公共団体は基本原則に関する国民の理解を深めることも義務づけられている（障害者基本法７条）。</w:t>
            </w:r>
          </w:p>
          <w:p w:rsidR="00E523D2" w:rsidRPr="00167487" w:rsidRDefault="00E523D2" w:rsidP="008F6DBC">
            <w:pPr>
              <w:ind w:left="240" w:hangingChars="100" w:hanging="240"/>
              <w:rPr>
                <w:color w:val="000000" w:themeColor="text1"/>
                <w:sz w:val="24"/>
                <w:szCs w:val="24"/>
              </w:rPr>
            </w:pPr>
            <w:r w:rsidRPr="00167487">
              <w:rPr>
                <w:rFonts w:hint="eastAsia"/>
                <w:color w:val="000000" w:themeColor="text1"/>
                <w:sz w:val="24"/>
                <w:szCs w:val="24"/>
              </w:rPr>
              <w:t>・以上のとおり、言語としての手話の認識の普及及び習得の機会の確保を図る必要があるが、これらは、単年度の予算による事業の実施によってではなく、市町村、学校及び障害者の支援団体等の協力を得て、恒久的かつ永続的に予算の有無に左右されないものとする必要があり、また条例制定自体に啓発効果があるため、この条例の制定及び施行を図るものである。</w:t>
            </w:r>
          </w:p>
          <w:p w:rsidR="00E523D2" w:rsidRPr="00167487" w:rsidRDefault="00E523D2" w:rsidP="00952640">
            <w:pPr>
              <w:ind w:left="240" w:hangingChars="100" w:hanging="240"/>
              <w:rPr>
                <w:color w:val="000000" w:themeColor="text1"/>
                <w:sz w:val="24"/>
                <w:szCs w:val="24"/>
              </w:rPr>
            </w:pPr>
            <w:r w:rsidRPr="00167487">
              <w:rPr>
                <w:rFonts w:hint="eastAsia"/>
                <w:color w:val="000000" w:themeColor="text1"/>
                <w:sz w:val="24"/>
                <w:szCs w:val="24"/>
              </w:rPr>
              <w:t>・このことにより、手話が言語であることを府民が認識した上で、聴覚に障がいのある者のほか、当該者と共に生活し、学び、又は働く者が手話を習得し、もって府民が、より多くの機会で手話を使用することのできる社会の実現に寄与することを目的とする。</w:t>
            </w:r>
          </w:p>
        </w:tc>
      </w:tr>
      <w:tr w:rsidR="00E523D2" w:rsidRPr="00167487" w:rsidTr="00E523D2">
        <w:tc>
          <w:tcPr>
            <w:tcW w:w="10314" w:type="dxa"/>
          </w:tcPr>
          <w:p w:rsidR="00E523D2" w:rsidRPr="00167487" w:rsidRDefault="00E523D2" w:rsidP="001E5C63">
            <w:pPr>
              <w:rPr>
                <w:color w:val="000000" w:themeColor="text1"/>
                <w:sz w:val="24"/>
                <w:szCs w:val="24"/>
              </w:rPr>
            </w:pPr>
            <w:r w:rsidRPr="00167487">
              <w:rPr>
                <w:rFonts w:hint="eastAsia"/>
                <w:color w:val="000000" w:themeColor="text1"/>
                <w:sz w:val="24"/>
                <w:szCs w:val="24"/>
              </w:rPr>
              <w:t>（言語としての手話の認識）</w:t>
            </w:r>
          </w:p>
          <w:p w:rsidR="00E523D2" w:rsidRPr="00B865F5" w:rsidRDefault="00E523D2" w:rsidP="00B865F5">
            <w:pPr>
              <w:ind w:left="240" w:hangingChars="100" w:hanging="240"/>
              <w:rPr>
                <w:color w:val="000000" w:themeColor="text1"/>
                <w:sz w:val="24"/>
                <w:szCs w:val="24"/>
              </w:rPr>
            </w:pPr>
            <w:r w:rsidRPr="00B865F5">
              <w:rPr>
                <w:rFonts w:hint="eastAsia"/>
                <w:color w:val="000000" w:themeColor="text1"/>
                <w:sz w:val="24"/>
                <w:szCs w:val="24"/>
              </w:rPr>
              <w:t>第二条　府は、府民に対し、手話が言語として認識されるよう必要な啓発に努めるものとする。</w:t>
            </w:r>
          </w:p>
          <w:p w:rsidR="00E523D2" w:rsidRPr="00167487" w:rsidRDefault="00E523D2" w:rsidP="00B865F5">
            <w:pPr>
              <w:rPr>
                <w:color w:val="000000" w:themeColor="text1"/>
                <w:sz w:val="24"/>
                <w:szCs w:val="24"/>
              </w:rPr>
            </w:pPr>
            <w:r w:rsidRPr="00B865F5">
              <w:rPr>
                <w:rFonts w:hint="eastAsia"/>
                <w:color w:val="000000" w:themeColor="text1"/>
                <w:sz w:val="24"/>
                <w:szCs w:val="24"/>
              </w:rPr>
              <w:t>２　府民は、手話を言語として認識するよう努めるものとする。</w:t>
            </w:r>
          </w:p>
        </w:tc>
        <w:tc>
          <w:tcPr>
            <w:tcW w:w="11907" w:type="dxa"/>
          </w:tcPr>
          <w:p w:rsidR="00E523D2" w:rsidRPr="00167487" w:rsidRDefault="00E523D2" w:rsidP="00551FB7">
            <w:pPr>
              <w:rPr>
                <w:color w:val="000000" w:themeColor="text1"/>
                <w:sz w:val="24"/>
                <w:szCs w:val="24"/>
              </w:rPr>
            </w:pPr>
            <w:r w:rsidRPr="00167487">
              <w:rPr>
                <w:rFonts w:hint="eastAsia"/>
                <w:color w:val="000000" w:themeColor="text1"/>
                <w:sz w:val="24"/>
                <w:szCs w:val="24"/>
              </w:rPr>
              <w:t>・第１項</w:t>
            </w:r>
          </w:p>
          <w:p w:rsidR="00E523D2" w:rsidRPr="00167487" w:rsidRDefault="00E523D2" w:rsidP="00551FB7">
            <w:pPr>
              <w:ind w:leftChars="100" w:left="450" w:hangingChars="100" w:hanging="240"/>
              <w:rPr>
                <w:color w:val="000000" w:themeColor="text1"/>
                <w:sz w:val="24"/>
                <w:szCs w:val="24"/>
              </w:rPr>
            </w:pPr>
            <w:r w:rsidRPr="00167487">
              <w:rPr>
                <w:rFonts w:hint="eastAsia"/>
                <w:color w:val="000000" w:themeColor="text1"/>
                <w:sz w:val="24"/>
                <w:szCs w:val="24"/>
              </w:rPr>
              <w:t>‐手話が言語であることの認識を持つ府民の割合は</w:t>
            </w:r>
            <w:r w:rsidRPr="00167487">
              <w:rPr>
                <w:rFonts w:hint="eastAsia"/>
                <w:color w:val="000000" w:themeColor="text1"/>
                <w:sz w:val="24"/>
                <w:szCs w:val="24"/>
              </w:rPr>
              <w:t>39.8</w:t>
            </w:r>
            <w:r w:rsidRPr="00167487">
              <w:rPr>
                <w:rFonts w:hint="eastAsia"/>
                <w:color w:val="000000" w:themeColor="text1"/>
                <w:sz w:val="24"/>
                <w:szCs w:val="24"/>
              </w:rPr>
              <w:t>％であり、低い状況である。このため、手話が言語として認識されるよう府は、府民（住民のほか、府内に勤務、通学その他の活動の根拠地を有する自然人）に対して必要な啓発（主に障がい者の芸術文化に係る事業など既存の取組を活用した周知のほか、映画とのタイアップポスターの掲示、チラシやパンフレットの設置などの啓発を想定）に努めるものとする。</w:t>
            </w:r>
          </w:p>
          <w:p w:rsidR="00E523D2" w:rsidRPr="00167487" w:rsidRDefault="00E523D2" w:rsidP="00551FB7">
            <w:pPr>
              <w:rPr>
                <w:color w:val="000000" w:themeColor="text1"/>
                <w:sz w:val="24"/>
                <w:szCs w:val="24"/>
              </w:rPr>
            </w:pPr>
            <w:r w:rsidRPr="00167487">
              <w:rPr>
                <w:rFonts w:hint="eastAsia"/>
                <w:color w:val="000000" w:themeColor="text1"/>
                <w:sz w:val="24"/>
                <w:szCs w:val="24"/>
              </w:rPr>
              <w:t>・第２項</w:t>
            </w:r>
          </w:p>
          <w:p w:rsidR="00E523D2" w:rsidRPr="00167487" w:rsidRDefault="00E523D2" w:rsidP="00870317">
            <w:pPr>
              <w:ind w:firstLineChars="100" w:firstLine="240"/>
              <w:rPr>
                <w:color w:val="000000" w:themeColor="text1"/>
                <w:sz w:val="24"/>
                <w:szCs w:val="24"/>
              </w:rPr>
            </w:pPr>
            <w:r w:rsidRPr="00167487">
              <w:rPr>
                <w:rFonts w:hint="eastAsia"/>
                <w:color w:val="000000" w:themeColor="text1"/>
                <w:sz w:val="24"/>
                <w:szCs w:val="24"/>
              </w:rPr>
              <w:t>‐府民は、手話を言語として認識するよう努めるものとする。</w:t>
            </w:r>
          </w:p>
        </w:tc>
      </w:tr>
      <w:tr w:rsidR="00E523D2" w:rsidRPr="00167487" w:rsidTr="00E523D2">
        <w:tc>
          <w:tcPr>
            <w:tcW w:w="10314" w:type="dxa"/>
          </w:tcPr>
          <w:p w:rsidR="00E523D2" w:rsidRPr="00167487" w:rsidRDefault="00E523D2" w:rsidP="001E5C63">
            <w:pPr>
              <w:rPr>
                <w:color w:val="000000" w:themeColor="text1"/>
                <w:sz w:val="24"/>
                <w:szCs w:val="24"/>
              </w:rPr>
            </w:pPr>
            <w:r w:rsidRPr="00167487">
              <w:rPr>
                <w:rFonts w:hint="eastAsia"/>
                <w:color w:val="000000" w:themeColor="text1"/>
                <w:sz w:val="24"/>
                <w:szCs w:val="24"/>
              </w:rPr>
              <w:t>（手話を習得する機会の確保）</w:t>
            </w:r>
          </w:p>
          <w:p w:rsidR="00E523D2" w:rsidRPr="00167487" w:rsidRDefault="00E523D2" w:rsidP="00B865F5">
            <w:pPr>
              <w:ind w:left="240" w:hangingChars="100" w:hanging="240"/>
              <w:rPr>
                <w:color w:val="000000" w:themeColor="text1"/>
                <w:sz w:val="24"/>
                <w:szCs w:val="24"/>
              </w:rPr>
            </w:pPr>
            <w:r w:rsidRPr="00B865F5">
              <w:rPr>
                <w:rFonts w:hint="eastAsia"/>
                <w:color w:val="000000" w:themeColor="text1"/>
                <w:sz w:val="24"/>
                <w:szCs w:val="24"/>
              </w:rPr>
              <w:t>第三条　府は、市町村、聴覚障害者の日常生活及び社会生活の支援を行う民間の団体並びに学識経験のある者と協力して、聴覚障害者が乳幼児期からその保護者又は家族と共に手話を習得することのできる機会の確保を図るものとする。</w:t>
            </w:r>
          </w:p>
        </w:tc>
        <w:tc>
          <w:tcPr>
            <w:tcW w:w="11907" w:type="dxa"/>
          </w:tcPr>
          <w:p w:rsidR="00E523D2" w:rsidRPr="00167487" w:rsidRDefault="00E523D2" w:rsidP="0021000F">
            <w:pPr>
              <w:ind w:left="120" w:hangingChars="50" w:hanging="120"/>
              <w:rPr>
                <w:color w:val="000000" w:themeColor="text1"/>
                <w:sz w:val="24"/>
                <w:szCs w:val="24"/>
              </w:rPr>
            </w:pPr>
            <w:r w:rsidRPr="00167487">
              <w:rPr>
                <w:rFonts w:hint="eastAsia"/>
                <w:color w:val="000000" w:themeColor="text1"/>
                <w:sz w:val="24"/>
                <w:szCs w:val="24"/>
              </w:rPr>
              <w:t>・府（聴覚に障がいのある乳幼児からの手話の習得に関しては、学校教育法に規定する特別支援学校を含む。）は、市町村、聴覚障がい者の日常生活及び社会生活の支援を行う民間の団体（主に聴覚障がい者の当事者団体のほか、聴覚に障がいのある子どもの発達に係る支援を行う社会福祉法人、ＮＰＯ法人及び株式会社を想定）並びに学識経験者と協力して、聴覚に障がいのある乳幼児、その保護者又は家族（主に乳幼児の兄弟姉妹、その他の同居する親類縁者を想定）が、手話を習得できる機会の確保に努めるものとする。</w:t>
            </w:r>
          </w:p>
          <w:p w:rsidR="00E523D2" w:rsidRPr="00167487" w:rsidRDefault="00E523D2" w:rsidP="0021000F">
            <w:pPr>
              <w:ind w:left="240" w:hangingChars="100" w:hanging="240"/>
              <w:rPr>
                <w:color w:val="000000" w:themeColor="text1"/>
                <w:sz w:val="24"/>
                <w:szCs w:val="24"/>
              </w:rPr>
            </w:pPr>
            <w:r w:rsidRPr="00167487">
              <w:rPr>
                <w:rFonts w:hint="eastAsia"/>
                <w:color w:val="000000" w:themeColor="text1"/>
                <w:sz w:val="24"/>
                <w:szCs w:val="24"/>
              </w:rPr>
              <w:t>・府は、市町村とは障害者手帳の発行を通じた機会の確保に係る当該対象者への情報の提供について、事業者等とは主に乳幼児に対して実施している療育や相談支援との連携について、それぞれ、協力する。</w:t>
            </w:r>
          </w:p>
          <w:p w:rsidR="00E523D2" w:rsidRPr="00167487" w:rsidRDefault="00E523D2" w:rsidP="0021000F">
            <w:pPr>
              <w:ind w:leftChars="13" w:left="147" w:hangingChars="50" w:hanging="120"/>
              <w:rPr>
                <w:color w:val="000000" w:themeColor="text1"/>
                <w:sz w:val="24"/>
                <w:szCs w:val="24"/>
              </w:rPr>
            </w:pPr>
            <w:r w:rsidRPr="00167487">
              <w:rPr>
                <w:rFonts w:hint="eastAsia"/>
                <w:color w:val="000000" w:themeColor="text1"/>
                <w:sz w:val="24"/>
                <w:szCs w:val="24"/>
              </w:rPr>
              <w:t>・人の第一言語となるべき言語は、本来的には誰から教わらずとも、その保護者又は家族との日常生活の中で</w:t>
            </w:r>
            <w:r w:rsidRPr="00167487">
              <w:rPr>
                <w:rFonts w:hint="eastAsia"/>
                <w:color w:val="000000" w:themeColor="text1"/>
                <w:sz w:val="24"/>
                <w:szCs w:val="24"/>
              </w:rPr>
              <w:lastRenderedPageBreak/>
              <w:t>乳幼児期において自然に習得するものであるが、聴覚に障がいのある乳幼児の保護者又は家族が手話を使えない者である場合は、当該自然の習得が見込まれず、かつ当該乳幼児の言語能力の発達に支障の生ずるおそれがある。また、これらの者の手話の習得の機会を確保するための法律や法律に基づく制度はない。このため、この条を規定することにより、聴覚に障がいのある乳幼児及びその保護者又は家族について、手話の習得の機会の確保を図ろうとするものである。</w:t>
            </w:r>
          </w:p>
          <w:p w:rsidR="00E523D2" w:rsidRPr="00167487" w:rsidRDefault="00E523D2" w:rsidP="002F3496">
            <w:pPr>
              <w:ind w:left="240" w:hangingChars="100" w:hanging="240"/>
              <w:rPr>
                <w:b/>
                <w:color w:val="000000" w:themeColor="text1"/>
                <w:sz w:val="24"/>
                <w:szCs w:val="24"/>
              </w:rPr>
            </w:pPr>
            <w:r w:rsidRPr="00167487">
              <w:rPr>
                <w:rFonts w:hint="eastAsia"/>
                <w:color w:val="000000" w:themeColor="text1"/>
                <w:sz w:val="24"/>
                <w:szCs w:val="24"/>
              </w:rPr>
              <w:t>・なお、聴覚に障がいのなかった者で事故や疾病その他の事由により聴覚に障がいのある状態となった者（以下「中途失聴者」という。）及びその保護者又は家族についても、手話を習得することのできる機会の確保の対象とするものである。</w:t>
            </w:r>
          </w:p>
        </w:tc>
      </w:tr>
      <w:tr w:rsidR="00E523D2" w:rsidRPr="00167487" w:rsidTr="00E523D2">
        <w:tc>
          <w:tcPr>
            <w:tcW w:w="10314" w:type="dxa"/>
          </w:tcPr>
          <w:p w:rsidR="00E523D2" w:rsidRPr="00167487" w:rsidRDefault="00E523D2" w:rsidP="005A02DA">
            <w:pPr>
              <w:rPr>
                <w:color w:val="000000" w:themeColor="text1"/>
                <w:sz w:val="24"/>
                <w:szCs w:val="24"/>
              </w:rPr>
            </w:pPr>
            <w:r w:rsidRPr="00167487">
              <w:rPr>
                <w:rFonts w:hint="eastAsia"/>
                <w:color w:val="000000" w:themeColor="text1"/>
                <w:sz w:val="24"/>
                <w:szCs w:val="24"/>
              </w:rPr>
              <w:lastRenderedPageBreak/>
              <w:t>（学校による手話の習得の機会の確保への支援）</w:t>
            </w:r>
          </w:p>
          <w:p w:rsidR="00E523D2" w:rsidRPr="00B865F5" w:rsidRDefault="00E523D2" w:rsidP="00B865F5">
            <w:pPr>
              <w:ind w:left="240" w:hangingChars="100" w:hanging="240"/>
              <w:rPr>
                <w:color w:val="000000" w:themeColor="text1"/>
                <w:sz w:val="24"/>
                <w:szCs w:val="24"/>
              </w:rPr>
            </w:pPr>
            <w:r w:rsidRPr="00B865F5">
              <w:rPr>
                <w:rFonts w:hint="eastAsia"/>
                <w:color w:val="000000" w:themeColor="text1"/>
                <w:sz w:val="24"/>
                <w:szCs w:val="24"/>
              </w:rPr>
              <w:t>府は、聴覚障害者が在学する学校（学校教育法（昭和二十二年法律第二十六号）に規定する小学校、中学校、義務教育学校、高等学校、中等教育学校、特別支援学校、大学、高等専門学校及び高等課程を置く専修学校をいう。以下同じ。）による次に掲げる教育活動において手話を習得することのできる機会の確保を図るため、学校に対し、情報の提供、技術的な助言その他の必要な支援を行うものとする。</w:t>
            </w:r>
          </w:p>
          <w:p w:rsidR="00E523D2" w:rsidRPr="00B865F5" w:rsidRDefault="00E523D2" w:rsidP="00761AB7">
            <w:pPr>
              <w:ind w:left="480" w:hangingChars="200" w:hanging="480"/>
              <w:rPr>
                <w:color w:val="000000" w:themeColor="text1"/>
                <w:sz w:val="24"/>
                <w:szCs w:val="24"/>
              </w:rPr>
            </w:pPr>
            <w:r w:rsidRPr="00B865F5">
              <w:rPr>
                <w:rFonts w:hint="eastAsia"/>
                <w:color w:val="000000" w:themeColor="text1"/>
                <w:sz w:val="24"/>
                <w:szCs w:val="24"/>
              </w:rPr>
              <w:t xml:space="preserve">　一　学校教育法施行規則（昭和二十二年文部省令第十一号）に規定する総合的な学習の時間、特別活動及び自立活動</w:t>
            </w:r>
          </w:p>
          <w:p w:rsidR="00E523D2" w:rsidRPr="00167487" w:rsidRDefault="00E523D2" w:rsidP="00B865F5">
            <w:pPr>
              <w:ind w:left="480" w:hangingChars="200" w:hanging="480"/>
              <w:rPr>
                <w:color w:val="000000" w:themeColor="text1"/>
                <w:sz w:val="24"/>
                <w:szCs w:val="24"/>
              </w:rPr>
            </w:pPr>
            <w:r w:rsidRPr="00B865F5">
              <w:rPr>
                <w:rFonts w:hint="eastAsia"/>
                <w:color w:val="000000" w:themeColor="text1"/>
                <w:sz w:val="24"/>
                <w:szCs w:val="24"/>
              </w:rPr>
              <w:t xml:space="preserve">　二　部活動その他の教育課程でない教育活動</w:t>
            </w:r>
          </w:p>
        </w:tc>
        <w:tc>
          <w:tcPr>
            <w:tcW w:w="11907" w:type="dxa"/>
          </w:tcPr>
          <w:p w:rsidR="00E523D2" w:rsidRPr="00167487" w:rsidRDefault="00E523D2" w:rsidP="00647561">
            <w:pPr>
              <w:ind w:left="240" w:hangingChars="100" w:hanging="240"/>
              <w:rPr>
                <w:color w:val="000000" w:themeColor="text1"/>
                <w:sz w:val="24"/>
                <w:szCs w:val="24"/>
              </w:rPr>
            </w:pPr>
            <w:r w:rsidRPr="00167487">
              <w:rPr>
                <w:rFonts w:hint="eastAsia"/>
                <w:color w:val="000000" w:themeColor="text1"/>
                <w:sz w:val="24"/>
                <w:szCs w:val="24"/>
              </w:rPr>
              <w:t>・府は、聴覚障がい者が在学する学校による次に掲げる教育活動において、教員、児童、生徒、学生その他の学校関係者が、手話を習得することのできる機会の確保を図るため、学校に対して、情報提供（主に当該取組の必要性や意義、府による支援が受けられることなどを想定）し、技術的な助言（主に必要なカリキュラムの提供、先進事例の紹介などを想定）を行い、その他の必要な支援（主に手話を実践的に習得できる場の提供、講師のあっせん、発表の場の提供、表彰の実施などを想定。）を行うものとする。</w:t>
            </w:r>
          </w:p>
          <w:p w:rsidR="00E523D2" w:rsidRPr="00167487" w:rsidRDefault="00E523D2" w:rsidP="00647561">
            <w:pPr>
              <w:ind w:leftChars="100" w:left="690" w:hangingChars="200" w:hanging="480"/>
              <w:rPr>
                <w:color w:val="000000" w:themeColor="text1"/>
                <w:sz w:val="24"/>
                <w:szCs w:val="24"/>
              </w:rPr>
            </w:pPr>
            <w:r w:rsidRPr="00167487">
              <w:rPr>
                <w:rFonts w:hint="eastAsia"/>
                <w:color w:val="000000" w:themeColor="text1"/>
                <w:sz w:val="24"/>
                <w:szCs w:val="24"/>
              </w:rPr>
              <w:t>（第１号）総合的な学習の時間、特別活動、自立活動</w:t>
            </w:r>
          </w:p>
          <w:p w:rsidR="00E523D2" w:rsidRPr="00167487" w:rsidRDefault="00E523D2" w:rsidP="00124947">
            <w:pPr>
              <w:ind w:leftChars="100" w:left="690" w:hangingChars="200" w:hanging="480"/>
              <w:rPr>
                <w:color w:val="000000" w:themeColor="text1"/>
                <w:sz w:val="24"/>
                <w:szCs w:val="24"/>
              </w:rPr>
            </w:pPr>
            <w:r w:rsidRPr="00167487">
              <w:rPr>
                <w:rFonts w:hint="eastAsia"/>
                <w:color w:val="000000" w:themeColor="text1"/>
                <w:sz w:val="24"/>
                <w:szCs w:val="24"/>
              </w:rPr>
              <w:t>（第２号）部活動やサークル活動のほか、学校内で行う教職員向けの研修、ＰＴＡ活動を想定</w:t>
            </w:r>
          </w:p>
          <w:p w:rsidR="00E523D2" w:rsidRPr="00167487" w:rsidRDefault="00E523D2" w:rsidP="0061693C">
            <w:pPr>
              <w:ind w:left="240" w:hangingChars="100" w:hanging="240"/>
              <w:rPr>
                <w:color w:val="000000" w:themeColor="text1"/>
                <w:sz w:val="24"/>
                <w:szCs w:val="24"/>
              </w:rPr>
            </w:pPr>
            <w:r w:rsidRPr="00167487">
              <w:rPr>
                <w:rFonts w:hint="eastAsia"/>
                <w:color w:val="000000" w:themeColor="text1"/>
                <w:sz w:val="24"/>
                <w:szCs w:val="24"/>
              </w:rPr>
              <w:t>・この条でいう学校には、幼稚園を含んでいない。これは聴覚に障がいのある児童の多くが一般的に通うとされる聴覚支援学校幼稚部が同条の特別支援学校に含まれているためである。一方、小学校以降の学校については、特別支援学校だけでなく普通校において難聴学級に通級する児童・生徒もいるという実態があり、第４条の支援の対象としている。なお、幼稚園の教員その他関係者の手話を習得する機会の確保に係る支援については、この条の直接的な対象とはしていないが、条例に基づかない一般的な施策としての支援を排除するものではない。</w:t>
            </w:r>
          </w:p>
          <w:p w:rsidR="00E523D2" w:rsidRPr="00167487" w:rsidRDefault="00E523D2" w:rsidP="004E650D">
            <w:pPr>
              <w:ind w:left="240" w:hangingChars="100" w:hanging="240"/>
              <w:rPr>
                <w:color w:val="000000" w:themeColor="text1"/>
                <w:sz w:val="24"/>
                <w:szCs w:val="24"/>
              </w:rPr>
            </w:pPr>
            <w:r w:rsidRPr="00167487">
              <w:rPr>
                <w:rFonts w:hint="eastAsia"/>
                <w:color w:val="000000" w:themeColor="text1"/>
                <w:sz w:val="24"/>
                <w:szCs w:val="24"/>
              </w:rPr>
              <w:t>・学校で実施する教育課程の根拠となる学習指導要領に手話を習得させることについての定めがないため、学校教育法施行規則の各教科において、手話を習得する機会がないのが現状である。なお、手話の学習を正課で行うことについては、学習指導要領の定めるところによる。このため、この条を規定することにより、総合的な学習の時間や自立活動のほか、部活動その他教育課程</w:t>
            </w:r>
            <w:r>
              <w:rPr>
                <w:rFonts w:hint="eastAsia"/>
                <w:color w:val="000000" w:themeColor="text1"/>
                <w:sz w:val="24"/>
                <w:szCs w:val="24"/>
              </w:rPr>
              <w:t>でない</w:t>
            </w:r>
            <w:r w:rsidRPr="00167487">
              <w:rPr>
                <w:rFonts w:hint="eastAsia"/>
                <w:color w:val="000000" w:themeColor="text1"/>
                <w:sz w:val="24"/>
                <w:szCs w:val="24"/>
              </w:rPr>
              <w:t>活動を活用して、手話を習得できる機会の確保を支援しようとするものである。</w:t>
            </w:r>
          </w:p>
          <w:p w:rsidR="00E523D2" w:rsidRPr="00167487" w:rsidRDefault="00E523D2" w:rsidP="002F3496">
            <w:pPr>
              <w:ind w:left="240" w:hangingChars="100" w:hanging="240"/>
              <w:rPr>
                <w:color w:val="000000" w:themeColor="text1"/>
                <w:sz w:val="24"/>
                <w:szCs w:val="24"/>
              </w:rPr>
            </w:pPr>
          </w:p>
        </w:tc>
      </w:tr>
      <w:tr w:rsidR="00E523D2" w:rsidRPr="00167487" w:rsidTr="00E523D2">
        <w:tc>
          <w:tcPr>
            <w:tcW w:w="10314" w:type="dxa"/>
          </w:tcPr>
          <w:p w:rsidR="00E523D2" w:rsidRPr="00167487" w:rsidRDefault="00E523D2" w:rsidP="009F0413">
            <w:pPr>
              <w:ind w:leftChars="46" w:left="337" w:hangingChars="100" w:hanging="240"/>
              <w:rPr>
                <w:color w:val="000000" w:themeColor="text1"/>
                <w:sz w:val="24"/>
                <w:szCs w:val="24"/>
              </w:rPr>
            </w:pPr>
            <w:r w:rsidRPr="00167487">
              <w:rPr>
                <w:rFonts w:hint="eastAsia"/>
                <w:color w:val="000000" w:themeColor="text1"/>
                <w:sz w:val="24"/>
                <w:szCs w:val="24"/>
              </w:rPr>
              <w:t>（事業者による手話の習得の機会の確保への支援）</w:t>
            </w:r>
          </w:p>
          <w:p w:rsidR="00E523D2" w:rsidRPr="00167487" w:rsidRDefault="00E523D2" w:rsidP="00B865F5">
            <w:pPr>
              <w:ind w:leftChars="46" w:left="337" w:hangingChars="100" w:hanging="240"/>
              <w:rPr>
                <w:color w:val="000000" w:themeColor="text1"/>
                <w:sz w:val="24"/>
                <w:szCs w:val="24"/>
              </w:rPr>
            </w:pPr>
            <w:r w:rsidRPr="00B865F5">
              <w:rPr>
                <w:rFonts w:hint="eastAsia"/>
                <w:color w:val="000000" w:themeColor="text1"/>
                <w:sz w:val="24"/>
                <w:szCs w:val="24"/>
              </w:rPr>
              <w:t>第五条　府は、聴覚障害者が勤務する事業者による手話を習得することのできる機会の確保を図るため、事業者に対し、情報の提供、技術的な助言その他の必要な支援を行うものとする。</w:t>
            </w:r>
          </w:p>
        </w:tc>
        <w:tc>
          <w:tcPr>
            <w:tcW w:w="11907" w:type="dxa"/>
          </w:tcPr>
          <w:p w:rsidR="00E523D2" w:rsidRPr="00167487" w:rsidRDefault="00E523D2" w:rsidP="00647561">
            <w:pPr>
              <w:ind w:left="240" w:hangingChars="100" w:hanging="240"/>
              <w:rPr>
                <w:color w:val="000000" w:themeColor="text1"/>
                <w:sz w:val="24"/>
                <w:szCs w:val="24"/>
              </w:rPr>
            </w:pPr>
            <w:r w:rsidRPr="00167487">
              <w:rPr>
                <w:rFonts w:hint="eastAsia"/>
                <w:color w:val="000000" w:themeColor="text1"/>
                <w:sz w:val="24"/>
                <w:szCs w:val="24"/>
              </w:rPr>
              <w:t>・府は、聴覚障がい者が勤務する事業者（主に民間事業者を想定しているが、行政機関を除外するものではない。）による手話を習得することのできる機会の確保を図るため、事業者に対し、情報提供（主に当該取組の必要性や意義、府による支援が受けられることなどを想定）し、技術的な助言（主に必要なカリキュラムの提供、先進事例の紹介などを想定）を行い、その他の必要な支援（主に企業による取組の認証、表彰の実施などを想定）を行うものとする。</w:t>
            </w:r>
          </w:p>
          <w:p w:rsidR="00E523D2" w:rsidRPr="00167487" w:rsidRDefault="00E523D2" w:rsidP="00507DA9">
            <w:pPr>
              <w:ind w:leftChars="6" w:left="253" w:hangingChars="100" w:hanging="240"/>
              <w:rPr>
                <w:color w:val="000000" w:themeColor="text1"/>
                <w:sz w:val="24"/>
                <w:szCs w:val="24"/>
              </w:rPr>
            </w:pPr>
            <w:r w:rsidRPr="00167487">
              <w:rPr>
                <w:rFonts w:hint="eastAsia"/>
                <w:color w:val="000000" w:themeColor="text1"/>
                <w:sz w:val="24"/>
                <w:szCs w:val="24"/>
              </w:rPr>
              <w:t>・事業者による手話を習得することのできる機会の確保とは、主に事業者の従業員に対する手話の習得のための講座を想定している。</w:t>
            </w:r>
          </w:p>
          <w:p w:rsidR="00E523D2" w:rsidRPr="00167487" w:rsidRDefault="00E523D2" w:rsidP="00A020D2">
            <w:pPr>
              <w:ind w:left="240" w:hangingChars="100" w:hanging="240"/>
              <w:rPr>
                <w:color w:val="000000" w:themeColor="text1"/>
                <w:sz w:val="24"/>
                <w:szCs w:val="24"/>
              </w:rPr>
            </w:pPr>
            <w:r w:rsidRPr="00167487">
              <w:rPr>
                <w:rFonts w:hint="eastAsia"/>
                <w:color w:val="000000" w:themeColor="text1"/>
                <w:sz w:val="24"/>
                <w:szCs w:val="24"/>
              </w:rPr>
              <w:t>・障害を理由とする差別の解消の推進に関する法律（平成二十五年法律第六十五号）は、行政機関等に対して「合理的な配慮」の実施を義務付けているが、民間事業者に対しては努力義務にとどまる上、意思疎通に係る合理的な配慮の基本的な考え方として、手話のほか、筆談などの方法によることもできるとされている。本条は、手話による意思疎通を合理的配慮として求めているのではなく、また、合理的配慮の方法を手話に一本化しようとするものでもない。したがって、同法の具体化を意図したものではなく、民間事業者による手話を習得することのできる機会の確保を図ろうとするものである。</w:t>
            </w:r>
          </w:p>
        </w:tc>
      </w:tr>
    </w:tbl>
    <w:p w:rsidR="004E4BE5" w:rsidRPr="002F3496" w:rsidRDefault="004E4BE5">
      <w:pPr>
        <w:rPr>
          <w:sz w:val="24"/>
          <w:szCs w:val="24"/>
        </w:rPr>
      </w:pPr>
    </w:p>
    <w:sectPr w:rsidR="004E4BE5" w:rsidRPr="002F3496" w:rsidSect="00F21F8A">
      <w:pgSz w:w="23814" w:h="16840" w:orient="landscape" w:code="8"/>
      <w:pgMar w:top="568" w:right="850"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B8" w:rsidRDefault="000631B8" w:rsidP="005E63CD">
      <w:r>
        <w:separator/>
      </w:r>
    </w:p>
  </w:endnote>
  <w:endnote w:type="continuationSeparator" w:id="0">
    <w:p w:rsidR="000631B8" w:rsidRDefault="000631B8" w:rsidP="005E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B8" w:rsidRDefault="000631B8" w:rsidP="005E63CD">
      <w:r>
        <w:separator/>
      </w:r>
    </w:p>
  </w:footnote>
  <w:footnote w:type="continuationSeparator" w:id="0">
    <w:p w:rsidR="000631B8" w:rsidRDefault="000631B8" w:rsidP="005E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E5"/>
    <w:rsid w:val="0002059A"/>
    <w:rsid w:val="000408B7"/>
    <w:rsid w:val="00047AEA"/>
    <w:rsid w:val="00050F45"/>
    <w:rsid w:val="00051F84"/>
    <w:rsid w:val="000631B8"/>
    <w:rsid w:val="00094694"/>
    <w:rsid w:val="000C450D"/>
    <w:rsid w:val="000D3C17"/>
    <w:rsid w:val="00123AD8"/>
    <w:rsid w:val="00124947"/>
    <w:rsid w:val="00167487"/>
    <w:rsid w:val="00173FD1"/>
    <w:rsid w:val="00190DEA"/>
    <w:rsid w:val="001E5C63"/>
    <w:rsid w:val="001E6781"/>
    <w:rsid w:val="0021000F"/>
    <w:rsid w:val="002304A1"/>
    <w:rsid w:val="00241D1E"/>
    <w:rsid w:val="00245463"/>
    <w:rsid w:val="00276260"/>
    <w:rsid w:val="00286096"/>
    <w:rsid w:val="002868BD"/>
    <w:rsid w:val="00290F70"/>
    <w:rsid w:val="002D4EE7"/>
    <w:rsid w:val="002F3496"/>
    <w:rsid w:val="0031196D"/>
    <w:rsid w:val="003844F0"/>
    <w:rsid w:val="003858EA"/>
    <w:rsid w:val="00387F04"/>
    <w:rsid w:val="003B5564"/>
    <w:rsid w:val="003C11C6"/>
    <w:rsid w:val="003C332C"/>
    <w:rsid w:val="00402BEA"/>
    <w:rsid w:val="00423CEF"/>
    <w:rsid w:val="00467EEF"/>
    <w:rsid w:val="00483B1A"/>
    <w:rsid w:val="004913D7"/>
    <w:rsid w:val="004934F5"/>
    <w:rsid w:val="004A2BE4"/>
    <w:rsid w:val="004D6546"/>
    <w:rsid w:val="004E367C"/>
    <w:rsid w:val="004E4BE5"/>
    <w:rsid w:val="004E650D"/>
    <w:rsid w:val="004F3D41"/>
    <w:rsid w:val="00503B18"/>
    <w:rsid w:val="005049C2"/>
    <w:rsid w:val="00507DA9"/>
    <w:rsid w:val="00517DBD"/>
    <w:rsid w:val="00521973"/>
    <w:rsid w:val="00531D44"/>
    <w:rsid w:val="00551FB7"/>
    <w:rsid w:val="0055324E"/>
    <w:rsid w:val="00556103"/>
    <w:rsid w:val="005638D0"/>
    <w:rsid w:val="005A02DA"/>
    <w:rsid w:val="005E2655"/>
    <w:rsid w:val="005E63CD"/>
    <w:rsid w:val="005F3D72"/>
    <w:rsid w:val="00603902"/>
    <w:rsid w:val="00607E7D"/>
    <w:rsid w:val="0061446B"/>
    <w:rsid w:val="0061693C"/>
    <w:rsid w:val="0063037B"/>
    <w:rsid w:val="00636D65"/>
    <w:rsid w:val="00647561"/>
    <w:rsid w:val="00647778"/>
    <w:rsid w:val="00682233"/>
    <w:rsid w:val="00687462"/>
    <w:rsid w:val="006A6AF6"/>
    <w:rsid w:val="006A7D08"/>
    <w:rsid w:val="006F2376"/>
    <w:rsid w:val="007224BE"/>
    <w:rsid w:val="007504EA"/>
    <w:rsid w:val="00761AB7"/>
    <w:rsid w:val="007C5956"/>
    <w:rsid w:val="007D25B0"/>
    <w:rsid w:val="007E4FD9"/>
    <w:rsid w:val="007F62A8"/>
    <w:rsid w:val="00870317"/>
    <w:rsid w:val="00893643"/>
    <w:rsid w:val="008D7FD0"/>
    <w:rsid w:val="008F6DBC"/>
    <w:rsid w:val="009122F0"/>
    <w:rsid w:val="009224E7"/>
    <w:rsid w:val="00936841"/>
    <w:rsid w:val="00952640"/>
    <w:rsid w:val="00973C7C"/>
    <w:rsid w:val="00986729"/>
    <w:rsid w:val="009920B7"/>
    <w:rsid w:val="009A146E"/>
    <w:rsid w:val="009E1154"/>
    <w:rsid w:val="009F0413"/>
    <w:rsid w:val="00A020D2"/>
    <w:rsid w:val="00A22BD5"/>
    <w:rsid w:val="00A45BFC"/>
    <w:rsid w:val="00AB1DD6"/>
    <w:rsid w:val="00AB2BA9"/>
    <w:rsid w:val="00AC4BB6"/>
    <w:rsid w:val="00AC7EED"/>
    <w:rsid w:val="00AD014C"/>
    <w:rsid w:val="00AD4AFD"/>
    <w:rsid w:val="00AD4C6F"/>
    <w:rsid w:val="00AE1639"/>
    <w:rsid w:val="00AE169E"/>
    <w:rsid w:val="00B20CE0"/>
    <w:rsid w:val="00B31304"/>
    <w:rsid w:val="00B32CC6"/>
    <w:rsid w:val="00B60542"/>
    <w:rsid w:val="00B83DA8"/>
    <w:rsid w:val="00B865F5"/>
    <w:rsid w:val="00B97F93"/>
    <w:rsid w:val="00BB3B28"/>
    <w:rsid w:val="00BC7115"/>
    <w:rsid w:val="00BD6AC2"/>
    <w:rsid w:val="00BE2264"/>
    <w:rsid w:val="00BE77AF"/>
    <w:rsid w:val="00BF0707"/>
    <w:rsid w:val="00C0523D"/>
    <w:rsid w:val="00C11490"/>
    <w:rsid w:val="00C33FF8"/>
    <w:rsid w:val="00C40696"/>
    <w:rsid w:val="00C83C78"/>
    <w:rsid w:val="00C848B1"/>
    <w:rsid w:val="00CE201F"/>
    <w:rsid w:val="00D046E2"/>
    <w:rsid w:val="00D0548E"/>
    <w:rsid w:val="00D145EC"/>
    <w:rsid w:val="00D5405B"/>
    <w:rsid w:val="00D66013"/>
    <w:rsid w:val="00D772C2"/>
    <w:rsid w:val="00D778D5"/>
    <w:rsid w:val="00D96374"/>
    <w:rsid w:val="00DA74E5"/>
    <w:rsid w:val="00DC7025"/>
    <w:rsid w:val="00DC74F1"/>
    <w:rsid w:val="00DD55BF"/>
    <w:rsid w:val="00DD6546"/>
    <w:rsid w:val="00DF18F9"/>
    <w:rsid w:val="00E01B0C"/>
    <w:rsid w:val="00E12C48"/>
    <w:rsid w:val="00E303CD"/>
    <w:rsid w:val="00E42E59"/>
    <w:rsid w:val="00E523D2"/>
    <w:rsid w:val="00E54C31"/>
    <w:rsid w:val="00E910B6"/>
    <w:rsid w:val="00E97375"/>
    <w:rsid w:val="00EA7305"/>
    <w:rsid w:val="00F21F8A"/>
    <w:rsid w:val="00F701DC"/>
    <w:rsid w:val="00FC2A53"/>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1F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1F8A"/>
    <w:rPr>
      <w:rFonts w:asciiTheme="majorHAnsi" w:eastAsiaTheme="majorEastAsia" w:hAnsiTheme="majorHAnsi" w:cstheme="majorBidi"/>
      <w:sz w:val="18"/>
      <w:szCs w:val="18"/>
    </w:rPr>
  </w:style>
  <w:style w:type="paragraph" w:styleId="a6">
    <w:name w:val="header"/>
    <w:basedOn w:val="a"/>
    <w:link w:val="a7"/>
    <w:uiPriority w:val="99"/>
    <w:unhideWhenUsed/>
    <w:rsid w:val="005E63CD"/>
    <w:pPr>
      <w:tabs>
        <w:tab w:val="center" w:pos="4252"/>
        <w:tab w:val="right" w:pos="8504"/>
      </w:tabs>
      <w:snapToGrid w:val="0"/>
    </w:pPr>
  </w:style>
  <w:style w:type="character" w:customStyle="1" w:styleId="a7">
    <w:name w:val="ヘッダー (文字)"/>
    <w:basedOn w:val="a0"/>
    <w:link w:val="a6"/>
    <w:uiPriority w:val="99"/>
    <w:rsid w:val="005E63CD"/>
  </w:style>
  <w:style w:type="paragraph" w:styleId="a8">
    <w:name w:val="footer"/>
    <w:basedOn w:val="a"/>
    <w:link w:val="a9"/>
    <w:uiPriority w:val="99"/>
    <w:unhideWhenUsed/>
    <w:rsid w:val="005E63CD"/>
    <w:pPr>
      <w:tabs>
        <w:tab w:val="center" w:pos="4252"/>
        <w:tab w:val="right" w:pos="8504"/>
      </w:tabs>
      <w:snapToGrid w:val="0"/>
    </w:pPr>
  </w:style>
  <w:style w:type="character" w:customStyle="1" w:styleId="a9">
    <w:name w:val="フッター (文字)"/>
    <w:basedOn w:val="a0"/>
    <w:link w:val="a8"/>
    <w:uiPriority w:val="99"/>
    <w:rsid w:val="005E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1F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1F8A"/>
    <w:rPr>
      <w:rFonts w:asciiTheme="majorHAnsi" w:eastAsiaTheme="majorEastAsia" w:hAnsiTheme="majorHAnsi" w:cstheme="majorBidi"/>
      <w:sz w:val="18"/>
      <w:szCs w:val="18"/>
    </w:rPr>
  </w:style>
  <w:style w:type="paragraph" w:styleId="a6">
    <w:name w:val="header"/>
    <w:basedOn w:val="a"/>
    <w:link w:val="a7"/>
    <w:uiPriority w:val="99"/>
    <w:unhideWhenUsed/>
    <w:rsid w:val="005E63CD"/>
    <w:pPr>
      <w:tabs>
        <w:tab w:val="center" w:pos="4252"/>
        <w:tab w:val="right" w:pos="8504"/>
      </w:tabs>
      <w:snapToGrid w:val="0"/>
    </w:pPr>
  </w:style>
  <w:style w:type="character" w:customStyle="1" w:styleId="a7">
    <w:name w:val="ヘッダー (文字)"/>
    <w:basedOn w:val="a0"/>
    <w:link w:val="a6"/>
    <w:uiPriority w:val="99"/>
    <w:rsid w:val="005E63CD"/>
  </w:style>
  <w:style w:type="paragraph" w:styleId="a8">
    <w:name w:val="footer"/>
    <w:basedOn w:val="a"/>
    <w:link w:val="a9"/>
    <w:uiPriority w:val="99"/>
    <w:unhideWhenUsed/>
    <w:rsid w:val="005E63CD"/>
    <w:pPr>
      <w:tabs>
        <w:tab w:val="center" w:pos="4252"/>
        <w:tab w:val="right" w:pos="8504"/>
      </w:tabs>
      <w:snapToGrid w:val="0"/>
    </w:pPr>
  </w:style>
  <w:style w:type="character" w:customStyle="1" w:styleId="a9">
    <w:name w:val="フッター (文字)"/>
    <w:basedOn w:val="a0"/>
    <w:link w:val="a8"/>
    <w:uiPriority w:val="99"/>
    <w:rsid w:val="005E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2016-11-25T01:04:00Z</cp:lastPrinted>
  <dcterms:created xsi:type="dcterms:W3CDTF">2017-05-19T12:16:00Z</dcterms:created>
  <dcterms:modified xsi:type="dcterms:W3CDTF">2017-05-19T13:05:00Z</dcterms:modified>
</cp:coreProperties>
</file>