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CC" w:rsidRPr="00854ACC" w:rsidRDefault="00854ACC" w:rsidP="00854ACC">
      <w:pPr>
        <w:spacing w:line="360" w:lineRule="exact"/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議　　事　　概　　要</w:t>
      </w:r>
    </w:p>
    <w:p w:rsidR="00854ACC" w:rsidRPr="00854ACC" w:rsidRDefault="00854ACC" w:rsidP="00854ACC">
      <w:pPr>
        <w:spacing w:line="360" w:lineRule="exac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:rsidR="00854ACC" w:rsidRPr="00854ACC" w:rsidRDefault="00854ACC" w:rsidP="00854ACC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名</w:t>
      </w:r>
      <w:r w:rsidR="008D413D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　</w:t>
      </w: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称：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F21906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="00BF53EE" w:rsidRPr="00854ACC">
        <w:rPr>
          <w:rFonts w:ascii="ＭＳ 明朝" w:eastAsia="ＭＳ 明朝" w:hAnsi="ＭＳ 明朝" w:cs="Times New Roman" w:hint="eastAsia"/>
          <w:sz w:val="24"/>
          <w:szCs w:val="24"/>
        </w:rPr>
        <w:t>第１回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大阪府立障がい者交流促進センター</w:t>
      </w:r>
    </w:p>
    <w:p w:rsidR="00854ACC" w:rsidRPr="00854ACC" w:rsidRDefault="00854ACC" w:rsidP="00854ACC">
      <w:pPr>
        <w:spacing w:line="360" w:lineRule="exact"/>
        <w:ind w:firstLineChars="522" w:firstLine="1253"/>
        <w:rPr>
          <w:rFonts w:ascii="ＭＳ 明朝" w:eastAsia="ＭＳ 明朝" w:hAnsi="ＭＳ 明朝" w:cs="Times New Roman"/>
          <w:sz w:val="24"/>
          <w:szCs w:val="24"/>
        </w:rPr>
      </w:pP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指定管理者評価委員会</w:t>
      </w:r>
    </w:p>
    <w:p w:rsidR="00370A26" w:rsidRDefault="00370A26" w:rsidP="00854ACC">
      <w:pPr>
        <w:spacing w:line="360" w:lineRule="exac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:rsidR="00854ACC" w:rsidRPr="00854ACC" w:rsidRDefault="00854ACC" w:rsidP="00854ACC">
      <w:pP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開催日時</w:t>
      </w:r>
      <w:r w:rsidRPr="00854AC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：</w:t>
      </w:r>
      <w:r w:rsidR="00F21906">
        <w:rPr>
          <w:rFonts w:ascii="ＭＳ 明朝" w:eastAsia="ＭＳ 明朝" w:hAnsi="ＭＳ 明朝" w:cs="Times New Roman" w:hint="eastAsia"/>
          <w:sz w:val="24"/>
          <w:szCs w:val="24"/>
        </w:rPr>
        <w:t>令和４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年８月</w:t>
      </w:r>
      <w:r w:rsidR="00F21906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日（</w:t>
      </w:r>
      <w:r w:rsidR="00F21906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8C58F4">
        <w:rPr>
          <w:rFonts w:ascii="ＭＳ 明朝" w:eastAsia="ＭＳ 明朝" w:hAnsi="ＭＳ 明朝" w:cs="Times New Roman" w:hint="eastAsia"/>
          <w:sz w:val="24"/>
          <w:szCs w:val="24"/>
        </w:rPr>
        <w:t>）午後１時から午後１</w:t>
      </w:r>
      <w:bookmarkStart w:id="0" w:name="_GoBack"/>
      <w:bookmarkEnd w:id="0"/>
      <w:r w:rsidRPr="00854ACC">
        <w:rPr>
          <w:rFonts w:ascii="ＭＳ 明朝" w:eastAsia="ＭＳ 明朝" w:hAnsi="ＭＳ 明朝" w:cs="Times New Roman" w:hint="eastAsia"/>
          <w:sz w:val="24"/>
          <w:szCs w:val="24"/>
        </w:rPr>
        <w:t>時</w:t>
      </w:r>
      <w:r w:rsidR="00DC7888">
        <w:rPr>
          <w:rFonts w:ascii="ＭＳ 明朝" w:eastAsia="ＭＳ 明朝" w:hAnsi="ＭＳ 明朝" w:cs="Times New Roman" w:hint="eastAsia"/>
          <w:sz w:val="24"/>
          <w:szCs w:val="24"/>
        </w:rPr>
        <w:t>３０分</w:t>
      </w:r>
    </w:p>
    <w:p w:rsidR="00370A26" w:rsidRDefault="00370A26" w:rsidP="00854ACC">
      <w:pPr>
        <w:spacing w:line="360" w:lineRule="exac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:rsidR="00854ACC" w:rsidRDefault="00854ACC" w:rsidP="00854ACC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開催場所</w:t>
      </w:r>
      <w:r w:rsidRPr="00854AC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：</w:t>
      </w:r>
      <w:r w:rsidR="0031272E" w:rsidRPr="008945D1">
        <w:rPr>
          <w:rFonts w:ascii="ＭＳ 明朝" w:eastAsia="ＭＳ 明朝" w:hAnsi="ＭＳ 明朝" w:cs="Times New Roman" w:hint="eastAsia"/>
          <w:sz w:val="24"/>
          <w:szCs w:val="24"/>
        </w:rPr>
        <w:t>ウェブ会議</w:t>
      </w:r>
    </w:p>
    <w:p w:rsidR="00C307BC" w:rsidRPr="00F21906" w:rsidRDefault="00C307BC" w:rsidP="00854ACC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　　　　</w:t>
      </w:r>
      <w:r w:rsidR="00161212">
        <w:rPr>
          <w:rFonts w:ascii="ＭＳ 明朝" w:eastAsia="ＭＳ 明朝" w:hAnsi="ＭＳ 明朝" w:cs="Times New Roman" w:hint="eastAsia"/>
          <w:sz w:val="24"/>
          <w:szCs w:val="24"/>
        </w:rPr>
        <w:t>※傍聴</w:t>
      </w:r>
      <w:r w:rsidRPr="00C307BC">
        <w:rPr>
          <w:rFonts w:ascii="ＭＳ 明朝" w:eastAsia="ＭＳ 明朝" w:hAnsi="ＭＳ 明朝" w:cs="Times New Roman" w:hint="eastAsia"/>
          <w:sz w:val="24"/>
          <w:szCs w:val="24"/>
        </w:rPr>
        <w:t>は府庁別館</w:t>
      </w:r>
      <w:r w:rsidR="00F21906" w:rsidRPr="00F2190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１階福祉部障がい福祉室生活基盤推進課内会議室</w:t>
      </w:r>
    </w:p>
    <w:p w:rsidR="00370A26" w:rsidRDefault="00370A26" w:rsidP="00854ACC">
      <w:pPr>
        <w:spacing w:line="360" w:lineRule="exac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:rsidR="00854ACC" w:rsidRPr="00854ACC" w:rsidRDefault="00854ACC" w:rsidP="00854ACC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出席委員</w:t>
      </w:r>
      <w:r w:rsidRPr="00854AC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：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（五十音順・敬称略）</w:t>
      </w:r>
    </w:p>
    <w:p w:rsidR="00854ACC" w:rsidRPr="0031272E" w:rsidRDefault="00854ACC" w:rsidP="00854ACC">
      <w:pPr>
        <w:spacing w:line="360" w:lineRule="exact"/>
        <w:ind w:firstLineChars="500" w:firstLine="1200"/>
        <w:rPr>
          <w:rFonts w:ascii="ＭＳ 明朝" w:eastAsia="ＭＳ 明朝" w:hAnsi="ＭＳ 明朝" w:cs="Times New Roman"/>
          <w:sz w:val="24"/>
          <w:szCs w:val="24"/>
        </w:rPr>
      </w:pPr>
      <w:r w:rsidRPr="0031272E">
        <w:rPr>
          <w:rFonts w:ascii="ＭＳ 明朝" w:eastAsia="ＭＳ 明朝" w:hAnsi="ＭＳ 明朝" w:cs="Times New Roman" w:hint="eastAsia"/>
          <w:sz w:val="24"/>
          <w:szCs w:val="24"/>
        </w:rPr>
        <w:t>奥　　康平</w:t>
      </w:r>
      <w:r w:rsidR="0031272E" w:rsidRPr="0031272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31272E">
        <w:rPr>
          <w:rFonts w:ascii="ＭＳ 明朝" w:eastAsia="ＭＳ 明朝" w:hAnsi="ＭＳ 明朝" w:cs="Times New Roman" w:hint="eastAsia"/>
          <w:sz w:val="24"/>
          <w:szCs w:val="24"/>
        </w:rPr>
        <w:t>阪南大学経営情報学部　准教授</w:t>
      </w:r>
    </w:p>
    <w:p w:rsidR="00854ACC" w:rsidRDefault="00854ACC" w:rsidP="00854ACC">
      <w:pPr>
        <w:spacing w:line="360" w:lineRule="exact"/>
        <w:ind w:firstLineChars="500" w:firstLine="1200"/>
        <w:rPr>
          <w:rFonts w:ascii="ＭＳ 明朝" w:eastAsia="ＭＳ 明朝" w:hAnsi="ＭＳ 明朝" w:cs="Times New Roman"/>
          <w:sz w:val="24"/>
          <w:szCs w:val="24"/>
        </w:rPr>
      </w:pP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細井　大輔</w:t>
      </w:r>
      <w:r w:rsidR="0031272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かける法律事務所　弁護士</w:t>
      </w:r>
    </w:p>
    <w:p w:rsidR="00854ACC" w:rsidRDefault="0031272E" w:rsidP="0031272E">
      <w:pPr>
        <w:spacing w:line="36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31272E">
        <w:rPr>
          <w:rFonts w:ascii="ＭＳ 明朝" w:eastAsia="ＭＳ 明朝" w:hAnsi="ＭＳ 明朝" w:hint="eastAsia"/>
          <w:sz w:val="24"/>
          <w:szCs w:val="24"/>
        </w:rPr>
        <w:t>松山　博明　　追手門学院大学　社会学部　教授</w:t>
      </w:r>
    </w:p>
    <w:p w:rsidR="00F21906" w:rsidRPr="00F21906" w:rsidRDefault="00F675A1" w:rsidP="00F21906">
      <w:pPr>
        <w:spacing w:line="36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F675A1">
        <w:rPr>
          <w:rFonts w:ascii="ＭＳ 明朝" w:eastAsia="ＭＳ 明朝" w:hAnsi="ＭＳ 明朝" w:hint="eastAsia"/>
          <w:sz w:val="24"/>
          <w:szCs w:val="24"/>
        </w:rPr>
        <w:t>森住　曜二　　森住曜二公認会計士事務所　公認会計士</w:t>
      </w:r>
    </w:p>
    <w:p w:rsidR="00370A26" w:rsidRDefault="00370A26" w:rsidP="00854ACC">
      <w:pPr>
        <w:spacing w:line="360" w:lineRule="exact"/>
        <w:rPr>
          <w:rFonts w:ascii="HG丸ｺﾞｼｯｸM-PRO" w:eastAsia="HG丸ｺﾞｼｯｸM-PRO" w:hAnsi="HG丸ｺﾞｼｯｸM-PRO" w:cs="Times New Roman"/>
          <w:b/>
          <w:kern w:val="0"/>
          <w:sz w:val="24"/>
          <w:szCs w:val="24"/>
        </w:rPr>
      </w:pPr>
    </w:p>
    <w:p w:rsidR="00C307BC" w:rsidRDefault="00C307BC" w:rsidP="00854ACC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307BC">
        <w:rPr>
          <w:rFonts w:ascii="HG丸ｺﾞｼｯｸM-PRO" w:eastAsia="HG丸ｺﾞｼｯｸM-PRO" w:hAnsi="HG丸ｺﾞｼｯｸM-PRO" w:cs="Times New Roman" w:hint="eastAsia"/>
          <w:b/>
          <w:spacing w:val="59"/>
          <w:kern w:val="0"/>
          <w:sz w:val="24"/>
          <w:szCs w:val="24"/>
          <w:fitText w:val="960" w:id="-1731979008"/>
        </w:rPr>
        <w:t>傍聴</w:t>
      </w:r>
      <w:r w:rsidRPr="00C307BC">
        <w:rPr>
          <w:rFonts w:ascii="HG丸ｺﾞｼｯｸM-PRO" w:eastAsia="HG丸ｺﾞｼｯｸM-PRO" w:hAnsi="HG丸ｺﾞｼｯｸM-PRO" w:cs="Times New Roman" w:hint="eastAsia"/>
          <w:b/>
          <w:spacing w:val="1"/>
          <w:kern w:val="0"/>
          <w:sz w:val="24"/>
          <w:szCs w:val="24"/>
          <w:fitText w:val="960" w:id="-1731979008"/>
        </w:rPr>
        <w:t>者</w:t>
      </w:r>
      <w:r>
        <w:rPr>
          <w:rFonts w:ascii="HG丸ｺﾞｼｯｸM-PRO" w:eastAsia="HG丸ｺﾞｼｯｸM-PRO" w:hAnsi="HG丸ｺﾞｼｯｸM-PRO" w:cs="Times New Roman" w:hint="eastAsia"/>
          <w:b/>
          <w:kern w:val="0"/>
          <w:sz w:val="24"/>
          <w:szCs w:val="24"/>
        </w:rPr>
        <w:t xml:space="preserve">　</w:t>
      </w:r>
      <w:r w:rsidRPr="00C307BC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希望なし</w:t>
      </w:r>
    </w:p>
    <w:p w:rsidR="00370A26" w:rsidRDefault="00370A26" w:rsidP="00854ACC">
      <w:pPr>
        <w:spacing w:line="360" w:lineRule="exact"/>
        <w:ind w:left="1205" w:hangingChars="500" w:hanging="1205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:rsidR="00370A26" w:rsidRDefault="00854ACC" w:rsidP="00854ACC">
      <w:pPr>
        <w:spacing w:line="360" w:lineRule="exact"/>
        <w:ind w:left="1205" w:hangingChars="500" w:hanging="1205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議　　事</w:t>
      </w:r>
    </w:p>
    <w:p w:rsidR="00854ACC" w:rsidRPr="00854ACC" w:rsidRDefault="0031272E" w:rsidP="00370A26">
      <w:pPr>
        <w:spacing w:line="360" w:lineRule="exact"/>
        <w:ind w:leftChars="100" w:left="1174" w:hangingChars="400" w:hanging="964"/>
        <w:rPr>
          <w:rFonts w:ascii="ＭＳ 明朝" w:eastAsia="ＭＳ 明朝" w:hAnsi="ＭＳ 明朝" w:cs="Times New Roman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議題１「令和</w:t>
      </w:r>
      <w:r w:rsidR="00F21906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３</w:t>
      </w:r>
      <w:r w:rsidR="0062435D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年度</w:t>
      </w:r>
      <w:r w:rsidR="00854ACC"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第２回委員会における委員意見に係る対応状況について」</w:t>
      </w:r>
    </w:p>
    <w:p w:rsidR="00B252E2" w:rsidRPr="00B252E2" w:rsidRDefault="00CB40E6" w:rsidP="00B252E2">
      <w:pPr>
        <w:spacing w:line="360" w:lineRule="exact"/>
        <w:ind w:left="1200" w:hangingChars="500" w:hanging="120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B252E2" w:rsidRPr="00B252E2">
        <w:rPr>
          <w:rFonts w:ascii="ＭＳ 明朝" w:eastAsia="ＭＳ 明朝" w:hAnsi="ＭＳ 明朝" w:cs="Times New Roman"/>
          <w:sz w:val="24"/>
          <w:szCs w:val="24"/>
        </w:rPr>
        <w:t>◎</w:t>
      </w:r>
      <w:r w:rsidR="000D7809">
        <w:rPr>
          <w:rFonts w:ascii="ＭＳ 明朝" w:eastAsia="ＭＳ 明朝" w:hAnsi="ＭＳ 明朝" w:cs="Times New Roman" w:hint="eastAsia"/>
          <w:sz w:val="24"/>
          <w:szCs w:val="24"/>
        </w:rPr>
        <w:t>委員より</w:t>
      </w:r>
      <w:r w:rsidR="00B252E2" w:rsidRPr="00B252E2">
        <w:rPr>
          <w:rFonts w:ascii="ＭＳ 明朝" w:eastAsia="ＭＳ 明朝" w:hAnsi="ＭＳ 明朝" w:cs="Times New Roman"/>
          <w:sz w:val="24"/>
          <w:szCs w:val="24"/>
        </w:rPr>
        <w:t>送迎バスの運行頻度の適切性について質問があったが、</w:t>
      </w:r>
      <w:r w:rsidR="000D7809">
        <w:rPr>
          <w:rFonts w:ascii="ＭＳ 明朝" w:eastAsia="ＭＳ 明朝" w:hAnsi="ＭＳ 明朝" w:cs="Times New Roman" w:hint="eastAsia"/>
          <w:sz w:val="24"/>
          <w:szCs w:val="24"/>
        </w:rPr>
        <w:t>事務局より</w:t>
      </w:r>
      <w:r w:rsidR="00B252E2" w:rsidRPr="00B252E2">
        <w:rPr>
          <w:rFonts w:ascii="ＭＳ 明朝" w:eastAsia="ＭＳ 明朝" w:hAnsi="ＭＳ 明朝" w:cs="Times New Roman"/>
          <w:sz w:val="24"/>
          <w:szCs w:val="24"/>
        </w:rPr>
        <w:t>利用者から特段の苦情や要望は出ていないと回答</w:t>
      </w:r>
      <w:r w:rsidR="000D7809">
        <w:rPr>
          <w:rFonts w:ascii="ＭＳ 明朝" w:eastAsia="ＭＳ 明朝" w:hAnsi="ＭＳ 明朝" w:cs="Times New Roman" w:hint="eastAsia"/>
          <w:sz w:val="24"/>
          <w:szCs w:val="24"/>
        </w:rPr>
        <w:t>を行った</w:t>
      </w:r>
      <w:r w:rsidR="00B252E2" w:rsidRPr="00B252E2">
        <w:rPr>
          <w:rFonts w:ascii="ＭＳ 明朝" w:eastAsia="ＭＳ 明朝" w:hAnsi="ＭＳ 明朝" w:cs="Times New Roman"/>
          <w:sz w:val="24"/>
          <w:szCs w:val="24"/>
        </w:rPr>
        <w:t>。</w:t>
      </w:r>
    </w:p>
    <w:p w:rsidR="00B252E2" w:rsidRPr="00B252E2" w:rsidRDefault="00B252E2" w:rsidP="00B252E2">
      <w:pPr>
        <w:spacing w:line="360" w:lineRule="exact"/>
        <w:ind w:leftChars="500" w:left="1050"/>
        <w:rPr>
          <w:rFonts w:ascii="ＭＳ 明朝" w:eastAsia="ＭＳ 明朝" w:hAnsi="ＭＳ 明朝" w:cs="Times New Roman"/>
          <w:sz w:val="24"/>
          <w:szCs w:val="24"/>
        </w:rPr>
      </w:pPr>
      <w:r w:rsidRPr="00B252E2">
        <w:rPr>
          <w:rFonts w:ascii="ＭＳ 明朝" w:eastAsia="ＭＳ 明朝" w:hAnsi="ＭＳ 明朝" w:cs="Times New Roman"/>
          <w:sz w:val="24"/>
          <w:szCs w:val="24"/>
        </w:rPr>
        <w:t>また、前回委員会で提言</w:t>
      </w:r>
      <w:r w:rsidR="000D7809">
        <w:rPr>
          <w:rFonts w:ascii="ＭＳ 明朝" w:eastAsia="ＭＳ 明朝" w:hAnsi="ＭＳ 明朝" w:cs="Times New Roman" w:hint="eastAsia"/>
          <w:sz w:val="24"/>
          <w:szCs w:val="24"/>
        </w:rPr>
        <w:t>のあった</w:t>
      </w:r>
      <w:r w:rsidRPr="00B252E2">
        <w:rPr>
          <w:rFonts w:ascii="ＭＳ 明朝" w:eastAsia="ＭＳ 明朝" w:hAnsi="ＭＳ 明朝" w:cs="Times New Roman"/>
          <w:sz w:val="24"/>
          <w:szCs w:val="24"/>
        </w:rPr>
        <w:t>、SNS対応については、</w:t>
      </w:r>
      <w:r w:rsidR="000D7809">
        <w:rPr>
          <w:rFonts w:ascii="ＭＳ 明朝" w:eastAsia="ＭＳ 明朝" w:hAnsi="ＭＳ 明朝" w:cs="Times New Roman" w:hint="eastAsia"/>
          <w:sz w:val="24"/>
          <w:szCs w:val="24"/>
        </w:rPr>
        <w:t>事務局より</w:t>
      </w:r>
      <w:r w:rsidRPr="00B252E2">
        <w:rPr>
          <w:rFonts w:ascii="ＭＳ 明朝" w:eastAsia="ＭＳ 明朝" w:hAnsi="ＭＳ 明朝" w:cs="Times New Roman"/>
          <w:sz w:val="24"/>
          <w:szCs w:val="24"/>
        </w:rPr>
        <w:t>Youtube等を用いたPRを行っていると報告</w:t>
      </w:r>
      <w:r w:rsidR="000D7809">
        <w:rPr>
          <w:rFonts w:ascii="ＭＳ 明朝" w:eastAsia="ＭＳ 明朝" w:hAnsi="ＭＳ 明朝" w:cs="Times New Roman" w:hint="eastAsia"/>
          <w:sz w:val="24"/>
          <w:szCs w:val="24"/>
        </w:rPr>
        <w:t>を行った</w:t>
      </w:r>
      <w:r w:rsidRPr="00B252E2">
        <w:rPr>
          <w:rFonts w:ascii="ＭＳ 明朝" w:eastAsia="ＭＳ 明朝" w:hAnsi="ＭＳ 明朝" w:cs="Times New Roman"/>
          <w:sz w:val="24"/>
          <w:szCs w:val="24"/>
        </w:rPr>
        <w:t>。</w:t>
      </w:r>
    </w:p>
    <w:p w:rsidR="00B252E2" w:rsidRPr="00B252E2" w:rsidRDefault="00B252E2" w:rsidP="00B252E2">
      <w:pPr>
        <w:spacing w:line="360" w:lineRule="exact"/>
        <w:ind w:leftChars="-10" w:left="1133" w:hangingChars="481" w:hanging="1154"/>
        <w:rPr>
          <w:rFonts w:ascii="ＭＳ 明朝" w:eastAsia="ＭＳ 明朝" w:hAnsi="ＭＳ 明朝" w:cs="Times New Roman"/>
          <w:sz w:val="24"/>
          <w:szCs w:val="24"/>
        </w:rPr>
      </w:pPr>
      <w:r w:rsidRPr="00B252E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◎</w:t>
      </w:r>
      <w:r w:rsidR="000D7809">
        <w:rPr>
          <w:rFonts w:ascii="ＭＳ 明朝" w:eastAsia="ＭＳ 明朝" w:hAnsi="ＭＳ 明朝" w:cs="Times New Roman" w:hint="eastAsia"/>
          <w:sz w:val="24"/>
          <w:szCs w:val="24"/>
        </w:rPr>
        <w:t>その他、事務局より</w:t>
      </w:r>
      <w:r w:rsidRPr="00B252E2">
        <w:rPr>
          <w:rFonts w:ascii="ＭＳ 明朝" w:eastAsia="ＭＳ 明朝" w:hAnsi="ＭＳ 明朝" w:cs="Times New Roman" w:hint="eastAsia"/>
          <w:sz w:val="24"/>
          <w:szCs w:val="24"/>
        </w:rPr>
        <w:t>各関係機関やパラリンピアンと適切に連携を取り事業を展開し、指導員の派遣についても積極的に行われていると</w:t>
      </w:r>
      <w:r w:rsidR="000D7809">
        <w:rPr>
          <w:rFonts w:ascii="ＭＳ 明朝" w:eastAsia="ＭＳ 明朝" w:hAnsi="ＭＳ 明朝" w:cs="Times New Roman" w:hint="eastAsia"/>
          <w:sz w:val="24"/>
          <w:szCs w:val="24"/>
        </w:rPr>
        <w:t>説明を行った</w:t>
      </w:r>
      <w:r w:rsidRPr="00B252E2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6B7F63" w:rsidRPr="00194026" w:rsidRDefault="006B7F63" w:rsidP="00B252E2">
      <w:pPr>
        <w:spacing w:line="360" w:lineRule="exact"/>
        <w:rPr>
          <w:rFonts w:ascii="HG丸ｺﾞｼｯｸM-PRO" w:eastAsia="HG丸ｺﾞｼｯｸM-PRO" w:hAnsi="HG丸ｺﾞｼｯｸM-PRO" w:cs="Times New Roman"/>
          <w:b/>
          <w:color w:val="FF0000"/>
          <w:sz w:val="24"/>
          <w:szCs w:val="24"/>
          <w:u w:val="single"/>
        </w:rPr>
      </w:pPr>
    </w:p>
    <w:p w:rsidR="00854ACC" w:rsidRPr="00854ACC" w:rsidRDefault="00F21906" w:rsidP="00370A26">
      <w:pPr>
        <w:spacing w:line="360" w:lineRule="exact"/>
        <w:ind w:firstLineChars="100" w:firstLine="241"/>
        <w:rPr>
          <w:rFonts w:ascii="HG丸ｺﾞｼｯｸM-PRO" w:eastAsia="HG丸ｺﾞｼｯｸM-PRO" w:hAnsi="HG丸ｺﾞｼｯｸM-PRO" w:cs="Times New Roman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議題２「令和４</w:t>
      </w:r>
      <w:r w:rsidR="00854ACC"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年度の評価項目・評価基準（案）について」</w:t>
      </w:r>
    </w:p>
    <w:p w:rsidR="00854ACC" w:rsidRDefault="00370A26" w:rsidP="00CB40E6">
      <w:pPr>
        <w:spacing w:line="360" w:lineRule="exact"/>
        <w:ind w:firstLineChars="600" w:firstLine="14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特に意見等なく</w:t>
      </w:r>
      <w:r w:rsidR="00854ACC" w:rsidRPr="00854ACC">
        <w:rPr>
          <w:rFonts w:ascii="ＭＳ 明朝" w:eastAsia="ＭＳ 明朝" w:hAnsi="ＭＳ 明朝" w:cs="Times New Roman" w:hint="eastAsia"/>
          <w:sz w:val="24"/>
          <w:szCs w:val="24"/>
        </w:rPr>
        <w:t>事務局案のとおり</w:t>
      </w:r>
      <w:r>
        <w:rPr>
          <w:rFonts w:ascii="ＭＳ 明朝" w:eastAsia="ＭＳ 明朝" w:hAnsi="ＭＳ 明朝" w:cs="Times New Roman" w:hint="eastAsia"/>
          <w:sz w:val="24"/>
          <w:szCs w:val="24"/>
        </w:rPr>
        <w:t>決定（</w:t>
      </w:r>
      <w:r w:rsidR="00F21906">
        <w:rPr>
          <w:rFonts w:ascii="ＭＳ 明朝" w:eastAsia="ＭＳ 明朝" w:hAnsi="ＭＳ 明朝" w:cs="Times New Roman" w:hint="eastAsia"/>
          <w:sz w:val="24"/>
          <w:szCs w:val="24"/>
        </w:rPr>
        <w:t>修正</w:t>
      </w:r>
      <w:r w:rsidR="006B7F63">
        <w:rPr>
          <w:rFonts w:ascii="ＭＳ 明朝" w:eastAsia="ＭＳ 明朝" w:hAnsi="ＭＳ 明朝" w:cs="Times New Roman" w:hint="eastAsia"/>
          <w:sz w:val="24"/>
          <w:szCs w:val="24"/>
        </w:rPr>
        <w:t>なし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854ACC" w:rsidRPr="00854ACC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370A26" w:rsidRPr="00370A26" w:rsidRDefault="00370A26" w:rsidP="00370A26">
      <w:pPr>
        <w:spacing w:line="360" w:lineRule="exact"/>
        <w:ind w:firstLineChars="100" w:firstLine="241"/>
        <w:rPr>
          <w:rFonts w:ascii="HG丸ｺﾞｼｯｸM-PRO" w:eastAsia="HG丸ｺﾞｼｯｸM-PRO" w:hAnsi="HG丸ｺﾞｼｯｸM-PRO" w:cs="Times New Roman"/>
          <w:b/>
          <w:sz w:val="24"/>
          <w:szCs w:val="24"/>
          <w:u w:val="single"/>
        </w:rPr>
      </w:pPr>
    </w:p>
    <w:p w:rsidR="00854ACC" w:rsidRPr="00854ACC" w:rsidRDefault="00854ACC" w:rsidP="00370A26">
      <w:pPr>
        <w:spacing w:line="360" w:lineRule="exact"/>
        <w:ind w:firstLineChars="100" w:firstLine="241"/>
        <w:rPr>
          <w:rFonts w:ascii="HG丸ｺﾞｼｯｸM-PRO" w:eastAsia="HG丸ｺﾞｼｯｸM-PRO" w:hAnsi="HG丸ｺﾞｼｯｸM-PRO" w:cs="Times New Roman"/>
          <w:b/>
          <w:sz w:val="24"/>
          <w:szCs w:val="24"/>
          <w:u w:val="single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議題３「</w:t>
      </w:r>
      <w:r w:rsidR="00DC7888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その他</w:t>
      </w: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」</w:t>
      </w:r>
    </w:p>
    <w:p w:rsidR="007E3FD6" w:rsidRDefault="00DC7888" w:rsidP="00CB40E6">
      <w:pPr>
        <w:spacing w:line="360" w:lineRule="exact"/>
        <w:ind w:firstLineChars="600" w:firstLine="14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第２回評価委員会は</w:t>
      </w:r>
      <w:r w:rsidR="00B957FD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F21906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854ACC" w:rsidRPr="00854ACC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854ACC" w:rsidRPr="00854ACC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F21906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>
        <w:rPr>
          <w:rFonts w:ascii="ＭＳ 明朝" w:eastAsia="ＭＳ 明朝" w:hAnsi="ＭＳ 明朝" w:cs="Times New Roman" w:hint="eastAsia"/>
          <w:sz w:val="24"/>
          <w:szCs w:val="24"/>
        </w:rPr>
        <w:t>日(</w:t>
      </w:r>
      <w:r w:rsidR="00F21906">
        <w:rPr>
          <w:rFonts w:ascii="ＭＳ 明朝" w:eastAsia="ＭＳ 明朝" w:hAnsi="ＭＳ 明朝" w:cs="Times New Roman" w:hint="eastAsia"/>
          <w:sz w:val="24"/>
          <w:szCs w:val="24"/>
        </w:rPr>
        <w:t>木</w:t>
      </w:r>
      <w:r>
        <w:rPr>
          <w:rFonts w:ascii="ＭＳ 明朝" w:eastAsia="ＭＳ 明朝" w:hAnsi="ＭＳ 明朝" w:cs="Times New Roman" w:hint="eastAsia"/>
          <w:sz w:val="24"/>
          <w:szCs w:val="24"/>
        </w:rPr>
        <w:t>)開催</w:t>
      </w:r>
      <w:r w:rsidR="0031272E">
        <w:rPr>
          <w:rFonts w:ascii="ＭＳ 明朝" w:eastAsia="ＭＳ 明朝" w:hAnsi="ＭＳ 明朝" w:cs="Times New Roman" w:hint="eastAsia"/>
          <w:sz w:val="24"/>
          <w:szCs w:val="24"/>
        </w:rPr>
        <w:t>予定</w:t>
      </w:r>
    </w:p>
    <w:p w:rsidR="00854ACC" w:rsidRDefault="007E3FD6" w:rsidP="00370A26">
      <w:pPr>
        <w:spacing w:line="360" w:lineRule="exact"/>
        <w:ind w:firstLineChars="600" w:firstLine="14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※オンライン開催の予定</w:t>
      </w:r>
    </w:p>
    <w:p w:rsidR="00F21906" w:rsidRDefault="00F21906" w:rsidP="00370A26">
      <w:pPr>
        <w:spacing w:line="360" w:lineRule="exact"/>
        <w:ind w:firstLineChars="600" w:firstLine="14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委員の施設見学の機会を設けるよう計画する。</w:t>
      </w:r>
    </w:p>
    <w:p w:rsidR="00370A26" w:rsidRDefault="008D413D" w:rsidP="007E3FD6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7E3FD6" w:rsidRPr="008D413D" w:rsidRDefault="008D413D" w:rsidP="00370A26">
      <w:pPr>
        <w:spacing w:line="360" w:lineRule="exact"/>
        <w:ind w:firstLineChars="100" w:firstLine="241"/>
        <w:rPr>
          <w:rFonts w:ascii="HG丸ｺﾞｼｯｸM-PRO" w:eastAsia="HG丸ｺﾞｼｯｸM-PRO" w:hAnsi="HG丸ｺﾞｼｯｸM-PRO" w:cs="Times New Roman"/>
          <w:b/>
          <w:sz w:val="24"/>
          <w:szCs w:val="24"/>
          <w:u w:val="single"/>
        </w:rPr>
      </w:pPr>
      <w:r w:rsidRPr="008D413D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議題外「</w:t>
      </w:r>
      <w:r w:rsidR="0093638C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東京オリンピック・</w:t>
      </w:r>
      <w:r w:rsidRPr="008D413D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パラリンピックについて」</w:t>
      </w:r>
    </w:p>
    <w:p w:rsidR="00CB40E6" w:rsidRPr="00B252E2" w:rsidRDefault="000D7809" w:rsidP="00B252E2">
      <w:pPr>
        <w:ind w:leftChars="600" w:left="12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事務局より</w:t>
      </w:r>
      <w:r w:rsidR="00B252E2" w:rsidRPr="00B252E2">
        <w:rPr>
          <w:rFonts w:ascii="ＭＳ 明朝" w:eastAsia="ＭＳ 明朝" w:hAnsi="ＭＳ 明朝"/>
          <w:sz w:val="24"/>
        </w:rPr>
        <w:t>東京オリンピック・パラリンピック開催後の継続的な障がい者スポーツの普及・発展に関して、</w:t>
      </w:r>
      <w:r w:rsidR="00B252E2" w:rsidRPr="00B252E2">
        <w:rPr>
          <w:rFonts w:ascii="ＭＳ 明朝" w:eastAsia="ＭＳ 明朝" w:hAnsi="ＭＳ 明朝" w:hint="eastAsia"/>
          <w:sz w:val="24"/>
        </w:rPr>
        <w:t>パラリンピック聖火トーチやユニフォーム等の展示を行うことや、パラリンピアンと連携した事業等も展開することで、東京オリンピック・パラリンピック以降も障がい者スポーツの普及</w:t>
      </w:r>
      <w:r>
        <w:rPr>
          <w:rFonts w:ascii="ＭＳ 明朝" w:eastAsia="ＭＳ 明朝" w:hAnsi="ＭＳ 明朝"/>
          <w:sz w:val="24"/>
        </w:rPr>
        <w:t>・発展に向けた活動を積極的に実施していると説明</w:t>
      </w:r>
      <w:r>
        <w:rPr>
          <w:rFonts w:ascii="ＭＳ 明朝" w:eastAsia="ＭＳ 明朝" w:hAnsi="ＭＳ 明朝" w:hint="eastAsia"/>
          <w:sz w:val="24"/>
        </w:rPr>
        <w:t>を行った</w:t>
      </w:r>
      <w:r w:rsidR="00B252E2" w:rsidRPr="00B252E2">
        <w:rPr>
          <w:rFonts w:ascii="ＭＳ 明朝" w:eastAsia="ＭＳ 明朝" w:hAnsi="ＭＳ 明朝"/>
          <w:sz w:val="24"/>
        </w:rPr>
        <w:t>。</w:t>
      </w:r>
    </w:p>
    <w:p w:rsidR="00741733" w:rsidRDefault="00741733" w:rsidP="00194026">
      <w:pPr>
        <w:pStyle w:val="a9"/>
      </w:pPr>
      <w:r>
        <w:rPr>
          <w:rFonts w:hint="eastAsia"/>
        </w:rPr>
        <w:t>以上</w:t>
      </w:r>
    </w:p>
    <w:p w:rsidR="00B252E2" w:rsidRDefault="00B252E2" w:rsidP="00194026">
      <w:pPr>
        <w:spacing w:line="360" w:lineRule="exact"/>
        <w:jc w:val="left"/>
        <w:rPr>
          <w:rFonts w:ascii="ＭＳ 明朝" w:eastAsia="ＭＳ 明朝" w:hAnsi="ＭＳ 明朝" w:cs="Times New Roman"/>
          <w:b/>
          <w:color w:val="FF0000"/>
          <w:sz w:val="22"/>
        </w:rPr>
      </w:pPr>
    </w:p>
    <w:sectPr w:rsidR="00B252E2" w:rsidSect="00B252E2">
      <w:pgSz w:w="11906" w:h="16838"/>
      <w:pgMar w:top="567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69A" w:rsidRDefault="00D7769A" w:rsidP="00854ACC">
      <w:r>
        <w:separator/>
      </w:r>
    </w:p>
  </w:endnote>
  <w:endnote w:type="continuationSeparator" w:id="0">
    <w:p w:rsidR="00D7769A" w:rsidRDefault="00D7769A" w:rsidP="0085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69A" w:rsidRDefault="00D7769A" w:rsidP="00854ACC">
      <w:r>
        <w:separator/>
      </w:r>
    </w:p>
  </w:footnote>
  <w:footnote w:type="continuationSeparator" w:id="0">
    <w:p w:rsidR="00D7769A" w:rsidRDefault="00D7769A" w:rsidP="00854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46"/>
    <w:rsid w:val="000803A1"/>
    <w:rsid w:val="00087CB8"/>
    <w:rsid w:val="000D7809"/>
    <w:rsid w:val="00161212"/>
    <w:rsid w:val="00194026"/>
    <w:rsid w:val="0019701B"/>
    <w:rsid w:val="001B27B3"/>
    <w:rsid w:val="001C6F78"/>
    <w:rsid w:val="00300506"/>
    <w:rsid w:val="0031272E"/>
    <w:rsid w:val="00370A26"/>
    <w:rsid w:val="003913E9"/>
    <w:rsid w:val="00405E6D"/>
    <w:rsid w:val="005E6330"/>
    <w:rsid w:val="00610D67"/>
    <w:rsid w:val="0062435D"/>
    <w:rsid w:val="00636649"/>
    <w:rsid w:val="006418FE"/>
    <w:rsid w:val="006B7F63"/>
    <w:rsid w:val="006D6198"/>
    <w:rsid w:val="00741733"/>
    <w:rsid w:val="007949F7"/>
    <w:rsid w:val="007E3510"/>
    <w:rsid w:val="007E3FD6"/>
    <w:rsid w:val="00833605"/>
    <w:rsid w:val="00854ACC"/>
    <w:rsid w:val="008945D1"/>
    <w:rsid w:val="008C58F4"/>
    <w:rsid w:val="008D413D"/>
    <w:rsid w:val="00920880"/>
    <w:rsid w:val="0093638C"/>
    <w:rsid w:val="009F6B16"/>
    <w:rsid w:val="00A54E9C"/>
    <w:rsid w:val="00B252E2"/>
    <w:rsid w:val="00B61DF1"/>
    <w:rsid w:val="00B957FD"/>
    <w:rsid w:val="00BF53EE"/>
    <w:rsid w:val="00BF5D46"/>
    <w:rsid w:val="00C307BC"/>
    <w:rsid w:val="00C36C59"/>
    <w:rsid w:val="00C51D97"/>
    <w:rsid w:val="00C82748"/>
    <w:rsid w:val="00CB40E6"/>
    <w:rsid w:val="00CF72DD"/>
    <w:rsid w:val="00D339CE"/>
    <w:rsid w:val="00D7769A"/>
    <w:rsid w:val="00DC7888"/>
    <w:rsid w:val="00E42843"/>
    <w:rsid w:val="00E44111"/>
    <w:rsid w:val="00E45E9E"/>
    <w:rsid w:val="00EF151F"/>
    <w:rsid w:val="00F21906"/>
    <w:rsid w:val="00F675A1"/>
    <w:rsid w:val="00F86004"/>
    <w:rsid w:val="00F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27F4D1"/>
  <w15:chartTrackingRefBased/>
  <w15:docId w15:val="{668B90BA-4148-43C5-A21A-82ACD267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E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ACC"/>
  </w:style>
  <w:style w:type="paragraph" w:styleId="a5">
    <w:name w:val="footer"/>
    <w:basedOn w:val="a"/>
    <w:link w:val="a6"/>
    <w:uiPriority w:val="99"/>
    <w:unhideWhenUsed/>
    <w:rsid w:val="00854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ACC"/>
  </w:style>
  <w:style w:type="paragraph" w:styleId="a7">
    <w:name w:val="Balloon Text"/>
    <w:basedOn w:val="a"/>
    <w:link w:val="a8"/>
    <w:uiPriority w:val="99"/>
    <w:semiHidden/>
    <w:unhideWhenUsed/>
    <w:rsid w:val="00BF5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3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194026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94026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史子</dc:creator>
  <cp:keywords/>
  <dc:description/>
  <cp:lastModifiedBy>中島　弘貴</cp:lastModifiedBy>
  <cp:revision>30</cp:revision>
  <cp:lastPrinted>2020-09-15T09:37:00Z</cp:lastPrinted>
  <dcterms:created xsi:type="dcterms:W3CDTF">2021-08-24T07:29:00Z</dcterms:created>
  <dcterms:modified xsi:type="dcterms:W3CDTF">2022-08-12T04:33:00Z</dcterms:modified>
</cp:coreProperties>
</file>