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19" w:rsidRDefault="001702D8" w:rsidP="00014E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14E19" w:rsidRPr="00014E19">
        <w:rPr>
          <w:rFonts w:ascii="ＭＳ 明朝" w:eastAsia="ＭＳ 明朝" w:hAnsi="ＭＳ 明朝" w:hint="eastAsia"/>
          <w:sz w:val="22"/>
        </w:rPr>
        <w:t>障害者</w:t>
      </w:r>
      <w:r w:rsidR="00014E19">
        <w:rPr>
          <w:rFonts w:ascii="ＭＳ 明朝" w:eastAsia="ＭＳ 明朝" w:hAnsi="ＭＳ 明朝" w:hint="eastAsia"/>
          <w:sz w:val="22"/>
        </w:rPr>
        <w:t>等</w:t>
      </w:r>
      <w:r w:rsidR="00014E19" w:rsidRPr="00014E19">
        <w:rPr>
          <w:rFonts w:ascii="ＭＳ 明朝" w:eastAsia="ＭＳ 明朝" w:hAnsi="ＭＳ 明朝" w:hint="eastAsia"/>
          <w:sz w:val="22"/>
        </w:rPr>
        <w:t>の職場環境整備等支援組織</w:t>
      </w:r>
      <w:r>
        <w:rPr>
          <w:rFonts w:ascii="ＭＳ 明朝" w:eastAsia="ＭＳ 明朝" w:hAnsi="ＭＳ 明朝" w:hint="eastAsia"/>
          <w:sz w:val="22"/>
        </w:rPr>
        <w:t>」</w:t>
      </w:r>
      <w:r w:rsidR="00014E19" w:rsidRPr="00014E19">
        <w:rPr>
          <w:rFonts w:ascii="ＭＳ 明朝" w:eastAsia="ＭＳ 明朝" w:hAnsi="ＭＳ 明朝" w:hint="eastAsia"/>
          <w:sz w:val="22"/>
        </w:rPr>
        <w:t>認定基準</w:t>
      </w:r>
      <w:bookmarkStart w:id="0" w:name="_GoBack"/>
      <w:bookmarkEnd w:id="0"/>
    </w:p>
    <w:p w:rsidR="00014E19" w:rsidRDefault="00014E19" w:rsidP="00C20EFE">
      <w:pPr>
        <w:rPr>
          <w:rFonts w:ascii="ＭＳ 明朝" w:eastAsia="ＭＳ 明朝" w:hAnsi="ＭＳ 明朝"/>
          <w:sz w:val="22"/>
        </w:rPr>
      </w:pPr>
    </w:p>
    <w:p w:rsidR="00014E19" w:rsidRDefault="00014E19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資格要件</w:t>
      </w:r>
    </w:p>
    <w:p w:rsidR="00C35AE4" w:rsidRDefault="00C35AE4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02D8">
        <w:rPr>
          <w:rFonts w:ascii="ＭＳ 明朝" w:eastAsia="ＭＳ 明朝" w:hAnsi="ＭＳ 明朝" w:hint="eastAsia"/>
          <w:sz w:val="22"/>
        </w:rPr>
        <w:t>「</w:t>
      </w:r>
      <w:r w:rsidR="00AA3868">
        <w:rPr>
          <w:rFonts w:ascii="ＭＳ 明朝" w:eastAsia="ＭＳ 明朝" w:hAnsi="ＭＳ 明朝" w:hint="eastAsia"/>
          <w:sz w:val="22"/>
        </w:rPr>
        <w:t>障害者等の職場環境整備等支援組織</w:t>
      </w:r>
      <w:r w:rsidR="001702D8">
        <w:rPr>
          <w:rFonts w:ascii="ＭＳ 明朝" w:eastAsia="ＭＳ 明朝" w:hAnsi="ＭＳ 明朝" w:hint="eastAsia"/>
          <w:sz w:val="22"/>
        </w:rPr>
        <w:t>」</w:t>
      </w:r>
      <w:r w:rsidR="00AA3868">
        <w:rPr>
          <w:rFonts w:ascii="ＭＳ 明朝" w:eastAsia="ＭＳ 明朝" w:hAnsi="ＭＳ 明朝" w:hint="eastAsia"/>
          <w:sz w:val="22"/>
        </w:rPr>
        <w:t>の認定を受ける者は、</w:t>
      </w:r>
      <w:r>
        <w:rPr>
          <w:rFonts w:ascii="ＭＳ 明朝" w:eastAsia="ＭＳ 明朝" w:hAnsi="ＭＳ 明朝" w:hint="eastAsia"/>
          <w:sz w:val="22"/>
        </w:rPr>
        <w:t>以下の資格要件をすべて満たしてい</w:t>
      </w:r>
      <w:r w:rsidR="00AA3868">
        <w:rPr>
          <w:rFonts w:ascii="ＭＳ 明朝" w:eastAsia="ＭＳ 明朝" w:hAnsi="ＭＳ 明朝" w:hint="eastAsia"/>
          <w:sz w:val="22"/>
        </w:rPr>
        <w:t>なければならない</w:t>
      </w:r>
      <w:r>
        <w:rPr>
          <w:rFonts w:ascii="ＭＳ 明朝" w:eastAsia="ＭＳ 明朝" w:hAnsi="ＭＳ 明朝" w:hint="eastAsia"/>
          <w:sz w:val="22"/>
        </w:rPr>
        <w:t>。</w:t>
      </w:r>
    </w:p>
    <w:p w:rsidR="00C35AE4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014E19">
        <w:rPr>
          <w:rFonts w:ascii="ＭＳ 明朝" w:eastAsia="ＭＳ 明朝" w:hAnsi="ＭＳ 明朝" w:hint="eastAsia"/>
          <w:sz w:val="22"/>
        </w:rPr>
        <w:t>大阪府の区域内に本社あるいは本部事業所を有している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C35AE4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府域全体で活動を行</w:t>
      </w:r>
      <w:r w:rsidR="009D4E26">
        <w:rPr>
          <w:rFonts w:ascii="ＭＳ 明朝" w:eastAsia="ＭＳ 明朝" w:hAnsi="ＭＳ 明朝" w:hint="eastAsia"/>
          <w:sz w:val="22"/>
        </w:rPr>
        <w:t>う体制や能力を有していると認められる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AF6FB6" w:rsidRDefault="00014E19" w:rsidP="00E37BC6">
      <w:pPr>
        <w:pStyle w:val="a3"/>
        <w:numPr>
          <w:ilvl w:val="0"/>
          <w:numId w:val="6"/>
        </w:numPr>
        <w:spacing w:line="280" w:lineRule="exact"/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就労</w:t>
      </w:r>
      <w:r w:rsidR="00593D04">
        <w:rPr>
          <w:rFonts w:ascii="ＭＳ 明朝" w:eastAsia="ＭＳ 明朝" w:hAnsi="ＭＳ 明朝" w:hint="eastAsia"/>
          <w:sz w:val="22"/>
        </w:rPr>
        <w:t>に向けた</w:t>
      </w:r>
      <w:r w:rsidRPr="00C35AE4">
        <w:rPr>
          <w:rFonts w:ascii="ＭＳ 明朝" w:eastAsia="ＭＳ 明朝" w:hAnsi="ＭＳ 明朝" w:hint="eastAsia"/>
          <w:sz w:val="22"/>
        </w:rPr>
        <w:t>訓練</w:t>
      </w:r>
      <w:r w:rsidR="00593D04">
        <w:rPr>
          <w:rFonts w:ascii="ＭＳ 明朝" w:eastAsia="ＭＳ 明朝" w:hAnsi="ＭＳ 明朝" w:hint="eastAsia"/>
          <w:sz w:val="22"/>
        </w:rPr>
        <w:t>や講習等</w:t>
      </w:r>
      <w:r w:rsidR="006F2ABD">
        <w:rPr>
          <w:rFonts w:ascii="ＭＳ 明朝" w:eastAsia="ＭＳ 明朝" w:hAnsi="ＭＳ 明朝" w:hint="eastAsia"/>
          <w:sz w:val="22"/>
        </w:rPr>
        <w:t>、</w:t>
      </w:r>
      <w:r w:rsidR="00444039">
        <w:rPr>
          <w:rFonts w:ascii="ＭＳ 明朝" w:eastAsia="ＭＳ 明朝" w:hAnsi="ＭＳ 明朝" w:hint="eastAsia"/>
          <w:sz w:val="22"/>
        </w:rPr>
        <w:t>就労準備性を高める取組み</w:t>
      </w:r>
      <w:r w:rsidR="00593D04">
        <w:rPr>
          <w:rFonts w:ascii="ＭＳ 明朝" w:eastAsia="ＭＳ 明朝" w:hAnsi="ＭＳ 明朝" w:hint="eastAsia"/>
          <w:sz w:val="22"/>
        </w:rPr>
        <w:t>（以下、「就労訓練</w:t>
      </w:r>
      <w:r w:rsidR="00444039">
        <w:rPr>
          <w:rFonts w:ascii="ＭＳ 明朝" w:eastAsia="ＭＳ 明朝" w:hAnsi="ＭＳ 明朝" w:hint="eastAsia"/>
          <w:sz w:val="22"/>
        </w:rPr>
        <w:t>等</w:t>
      </w:r>
      <w:r w:rsidR="00593D04">
        <w:rPr>
          <w:rFonts w:ascii="ＭＳ 明朝" w:eastAsia="ＭＳ 明朝" w:hAnsi="ＭＳ 明朝" w:hint="eastAsia"/>
          <w:sz w:val="22"/>
        </w:rPr>
        <w:t>」という。）</w:t>
      </w:r>
      <w:r w:rsidRPr="00C35AE4">
        <w:rPr>
          <w:rFonts w:ascii="ＭＳ 明朝" w:eastAsia="ＭＳ 明朝" w:hAnsi="ＭＳ 明朝" w:hint="eastAsia"/>
          <w:sz w:val="22"/>
        </w:rPr>
        <w:t>か</w:t>
      </w:r>
    </w:p>
    <w:p w:rsidR="00014E19" w:rsidRPr="00C35AE4" w:rsidRDefault="00014E19" w:rsidP="00E37BC6">
      <w:pPr>
        <w:pStyle w:val="a3"/>
        <w:spacing w:line="280" w:lineRule="exact"/>
        <w:ind w:leftChars="0" w:left="142" w:firstLineChars="300" w:firstLine="66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らジョブマッチング、職場定着支援まで一貫して行っている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:rsidR="0067788D" w:rsidRDefault="0067788D" w:rsidP="00E37BC6">
      <w:pPr>
        <w:spacing w:line="280" w:lineRule="exact"/>
        <w:rPr>
          <w:rFonts w:ascii="ＭＳ 明朝" w:eastAsia="ＭＳ 明朝" w:hAnsi="ＭＳ 明朝"/>
          <w:sz w:val="22"/>
        </w:rPr>
      </w:pPr>
    </w:p>
    <w:p w:rsidR="003B03D7" w:rsidRDefault="00D330EF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専門要件</w:t>
      </w:r>
    </w:p>
    <w:p w:rsidR="00E37BC6" w:rsidRPr="00780F44" w:rsidRDefault="00C35AE4" w:rsidP="00E37BC6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前項の資格要件をすべて</w:t>
      </w:r>
      <w:r w:rsidR="00C4187F">
        <w:rPr>
          <w:rFonts w:ascii="ＭＳ 明朝" w:eastAsia="ＭＳ 明朝" w:hAnsi="ＭＳ 明朝" w:hint="eastAsia"/>
          <w:sz w:val="22"/>
        </w:rPr>
        <w:t>満たし</w:t>
      </w:r>
      <w:r>
        <w:rPr>
          <w:rFonts w:ascii="ＭＳ 明朝" w:eastAsia="ＭＳ 明朝" w:hAnsi="ＭＳ 明朝" w:hint="eastAsia"/>
          <w:sz w:val="22"/>
        </w:rPr>
        <w:t>ている場</w:t>
      </w:r>
      <w:r w:rsidRPr="00780F44">
        <w:rPr>
          <w:rFonts w:ascii="ＭＳ 明朝" w:eastAsia="ＭＳ 明朝" w:hAnsi="ＭＳ 明朝" w:hint="eastAsia"/>
          <w:sz w:val="22"/>
        </w:rPr>
        <w:t>合に、</w:t>
      </w:r>
      <w:r w:rsidR="00E37BC6" w:rsidRPr="00780F44">
        <w:rPr>
          <w:rFonts w:ascii="ＭＳ 明朝" w:eastAsia="ＭＳ 明朝" w:hAnsi="ＭＳ 明朝" w:hint="eastAsia"/>
          <w:sz w:val="22"/>
        </w:rPr>
        <w:t>「大阪府障害者等の職場環境整備等支援組織認定等審議会」において、同審議会委員の合議により、専門要件について下表により評価し、各委員の評価合計点の平均が</w:t>
      </w:r>
      <w:r w:rsidR="00E37BC6" w:rsidRPr="00780F44">
        <w:rPr>
          <w:rFonts w:ascii="ＭＳ 明朝" w:eastAsia="ＭＳ 明朝" w:hAnsi="ＭＳ 明朝"/>
          <w:sz w:val="22"/>
        </w:rPr>
        <w:t>10点以上に達した場合に、「障害者等の職場環境整備等支援組織」として認定するものとする。</w:t>
      </w:r>
    </w:p>
    <w:p w:rsidR="00E37BC6" w:rsidRPr="00E37BC6" w:rsidRDefault="00E37BC6" w:rsidP="00E37BC6">
      <w:pPr>
        <w:spacing w:line="280" w:lineRule="exact"/>
        <w:rPr>
          <w:rFonts w:ascii="ＭＳ 明朝" w:eastAsia="ＭＳ 明朝" w:hAnsi="ＭＳ 明朝"/>
          <w:sz w:val="22"/>
        </w:rPr>
      </w:pPr>
      <w:r w:rsidRPr="00E37BC6">
        <w:rPr>
          <w:rFonts w:ascii="ＭＳ 明朝" w:eastAsia="ＭＳ 明朝" w:hAnsi="ＭＳ 明朝" w:hint="eastAsia"/>
          <w:sz w:val="22"/>
        </w:rPr>
        <w:t xml:space="preserve">　ただし、委員のうち１人でも評価方針に掲げたいずれかの項目に０</w:t>
      </w:r>
      <w:r w:rsidRPr="00E37BC6">
        <w:rPr>
          <w:rFonts w:ascii="ＭＳ 明朝" w:eastAsia="ＭＳ 明朝" w:hAnsi="ＭＳ 明朝"/>
          <w:sz w:val="22"/>
        </w:rPr>
        <w:t>点を付けた場合は、評価合計点は出さず、認定をしないものとする。</w:t>
      </w:r>
    </w:p>
    <w:p w:rsidR="00DA1F94" w:rsidRPr="00780F44" w:rsidRDefault="00DA1F94" w:rsidP="00E37BC6">
      <w:pPr>
        <w:rPr>
          <w:rFonts w:ascii="ＭＳ 明朝" w:eastAsia="ＭＳ 明朝" w:hAnsi="ＭＳ 明朝"/>
          <w:sz w:val="22"/>
        </w:rPr>
      </w:pPr>
    </w:p>
    <w:p w:rsidR="00DA1F94" w:rsidRPr="00780F44" w:rsidRDefault="00DA1F94" w:rsidP="00C20EFE">
      <w:pPr>
        <w:rPr>
          <w:rFonts w:ascii="ＭＳ 明朝" w:eastAsia="ＭＳ 明朝" w:hAnsi="ＭＳ 明朝"/>
          <w:sz w:val="22"/>
        </w:rPr>
      </w:pPr>
      <w:r w:rsidRPr="00780F44">
        <w:rPr>
          <w:rFonts w:ascii="ＭＳ 明朝" w:eastAsia="ＭＳ 明朝" w:hAnsi="ＭＳ 明朝" w:hint="eastAsia"/>
          <w:sz w:val="22"/>
        </w:rPr>
        <w:t>表－１（障</w:t>
      </w:r>
      <w:r w:rsidR="001702D8" w:rsidRPr="00780F44">
        <w:rPr>
          <w:rFonts w:ascii="ＭＳ 明朝" w:eastAsia="ＭＳ 明朝" w:hAnsi="ＭＳ 明朝" w:hint="eastAsia"/>
          <w:sz w:val="22"/>
        </w:rPr>
        <w:t>がい</w:t>
      </w:r>
      <w:r w:rsidRPr="00780F44">
        <w:rPr>
          <w:rFonts w:ascii="ＭＳ 明朝" w:eastAsia="ＭＳ 明朝" w:hAnsi="ＭＳ 明朝" w:hint="eastAsia"/>
          <w:sz w:val="22"/>
        </w:rPr>
        <w:t>者分野）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1"/>
        <w:gridCol w:w="3953"/>
        <w:gridCol w:w="4062"/>
      </w:tblGrid>
      <w:tr w:rsidR="00014E19" w:rsidRPr="00780F44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評価方針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14E19" w:rsidRPr="00780F44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014E19" w:rsidRPr="00780F44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就労</w:t>
            </w:r>
          </w:p>
          <w:p w:rsidR="00867F91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4E19" w:rsidRPr="00780F44" w:rsidRDefault="00077715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独自に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一般就労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への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就職率の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目標設定を行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うとともに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就労訓練</w:t>
            </w:r>
            <w:r w:rsidR="00444039" w:rsidRPr="00780F44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を実施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高い就職率を実現している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就職率の目標設定を行い、目標達成に向け</w:t>
            </w:r>
            <w:r w:rsidR="00593D04" w:rsidRPr="00780F44">
              <w:rPr>
                <w:rFonts w:ascii="ＭＳ 明朝" w:eastAsia="ＭＳ 明朝" w:hAnsi="ＭＳ 明朝" w:hint="eastAsia"/>
                <w:sz w:val="22"/>
              </w:rPr>
              <w:t>就労訓練等を実施している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DA1F94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上記の結果、就職率の実績が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867F91" w:rsidRPr="00780F44" w:rsidRDefault="00DA1F94" w:rsidP="00F84CE9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2</w:t>
            </w:r>
            <w:r w:rsidR="00867F91" w:rsidRPr="00780F44">
              <w:rPr>
                <w:rFonts w:ascii="ＭＳ 明朝" w:eastAsia="ＭＳ 明朝" w:hAnsi="ＭＳ 明朝"/>
                <w:sz w:val="22"/>
              </w:rPr>
              <w:t>5％以上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67F91"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:rsidR="00014E19" w:rsidRPr="00780F44" w:rsidRDefault="00867F91" w:rsidP="00F84CE9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/>
                <w:sz w:val="22"/>
              </w:rPr>
              <w:t>30％以上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014E19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地域連携、職場定着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E19" w:rsidRPr="00780F44" w:rsidRDefault="00867F91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障害者就業・生活支援センターや就労系福祉サービス事業所（就労移行支援事業所、就労継続支援</w:t>
            </w:r>
            <w:r w:rsidRPr="00780F44">
              <w:rPr>
                <w:rFonts w:ascii="ＭＳ 明朝" w:eastAsia="ＭＳ 明朝" w:hAnsi="ＭＳ 明朝"/>
                <w:sz w:val="22"/>
              </w:rPr>
              <w:t>A型・B型事業所</w:t>
            </w:r>
            <w:r w:rsidR="00357095" w:rsidRPr="00780F44">
              <w:rPr>
                <w:rFonts w:ascii="ＭＳ 明朝" w:eastAsia="ＭＳ 明朝" w:hAnsi="ＭＳ 明朝" w:hint="eastAsia"/>
                <w:sz w:val="22"/>
              </w:rPr>
              <w:t>、就労定着支援事業所</w:t>
            </w:r>
            <w:r w:rsidRPr="00780F44">
              <w:rPr>
                <w:rFonts w:ascii="ＭＳ 明朝" w:eastAsia="ＭＳ 明朝" w:hAnsi="ＭＳ 明朝"/>
                <w:sz w:val="22"/>
              </w:rPr>
              <w:t>）等、地域の支援機関とのネットワークや協力体制を築き、送り出した就職者の職場定着を支援している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支援機関との協力ネットワーク体制を築いている</w:t>
            </w:r>
            <w:r w:rsidR="002E13DD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6653B" w:rsidRPr="00780F44" w:rsidRDefault="00867F91" w:rsidP="00F84CE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に加え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、１年後の職場定着率が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80F44">
              <w:rPr>
                <w:rFonts w:ascii="ＭＳ 明朝" w:eastAsia="ＭＳ 明朝" w:hAnsi="ＭＳ 明朝"/>
                <w:sz w:val="22"/>
              </w:rPr>
              <w:t>70％以上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:rsidR="00014E19" w:rsidRPr="00780F44" w:rsidRDefault="00867F91">
            <w:pPr>
              <w:pStyle w:val="a3"/>
              <w:spacing w:line="260" w:lineRule="exact"/>
              <w:ind w:leftChars="0" w:left="180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/>
                <w:sz w:val="22"/>
              </w:rPr>
              <w:t>80％以上</w:t>
            </w:r>
            <w:r w:rsidR="00DA1F94" w:rsidRPr="00780F4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  <w:r w:rsidR="00493CB9" w:rsidRPr="00780F44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867F91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職場定着に係る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先駆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的な取組み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9D4E26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促進す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るための先駆的な取組</w:t>
            </w:r>
            <w:r w:rsidR="00077715" w:rsidRPr="00780F44">
              <w:rPr>
                <w:rFonts w:ascii="ＭＳ 明朝" w:eastAsia="ＭＳ 明朝" w:hAnsi="ＭＳ 明朝" w:hint="eastAsia"/>
                <w:sz w:val="22"/>
              </w:rPr>
              <w:t>み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を行っている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251F1" w:rsidRPr="00780F44" w:rsidRDefault="003251F1" w:rsidP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先駆的な取組みを生み出すための創意工夫が認められる場合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251F1" w:rsidRPr="00780F44" w:rsidRDefault="003251F1" w:rsidP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先駆的と認めることができる取組みがある</w:t>
            </w:r>
            <w:r w:rsidR="00D824DF" w:rsidRPr="00780F44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867F91" w:rsidRPr="00780F44" w:rsidRDefault="003251F1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174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全国的に類を見ないような極めて先駆的な取組みや、他のモデルになるなどの取組みがある</w:t>
            </w:r>
            <w:r w:rsidR="00D824DF" w:rsidRPr="00780F44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：３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  <w:tr w:rsidR="00867F91" w:rsidRPr="00780F44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2F47AF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事業主等への支援を通じた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障がい者雇用・就労の促進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91" w:rsidRPr="00780F44" w:rsidRDefault="002F47AF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="00CE1996" w:rsidRPr="00780F44">
              <w:rPr>
                <w:rFonts w:ascii="ＭＳ 明朝" w:eastAsia="ＭＳ 明朝" w:hAnsi="ＭＳ 明朝" w:hint="eastAsia"/>
                <w:sz w:val="22"/>
              </w:rPr>
              <w:t>職場定着に関する取組に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とどまらず、事業主や産業界への支援を行い、職域開拓等、障がい者の雇用・就労を促進している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6653B" w:rsidRPr="00780F44" w:rsidRDefault="0036653B" w:rsidP="00F84CE9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職場定着以外の事業主等への支援を行っている場合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="002F3581"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36653B" w:rsidRPr="00780F44" w:rsidRDefault="0036653B" w:rsidP="00F84CE9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職場定着以外の支援を行った成果が認められる場合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867F91" w:rsidRPr="00780F44" w:rsidRDefault="0036653B">
            <w:pPr>
              <w:pStyle w:val="a3"/>
              <w:numPr>
                <w:ilvl w:val="0"/>
                <w:numId w:val="12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職場定着以外の支援の効果が著しく高いと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認め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：３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  <w:tr w:rsidR="00867F91" w:rsidRPr="00780F44" w:rsidTr="009822F2"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67F91" w:rsidRPr="00780F44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867F91"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」を踏まえた取組み</w:t>
            </w:r>
          </w:p>
          <w:p w:rsidR="00DA1F94" w:rsidRPr="00780F4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 w:rsidRPr="00780F4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3581" w:rsidRDefault="006D18A9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80F44">
              <w:rPr>
                <w:rFonts w:ascii="ＭＳ 明朝" w:eastAsia="ＭＳ 明朝" w:hAnsi="ＭＳ 明朝"/>
                <w:sz w:val="22"/>
              </w:rPr>
              <w:t>4項目以外</w:t>
            </w:r>
            <w:r w:rsidR="002F3581" w:rsidRPr="00780F44">
              <w:rPr>
                <w:rFonts w:ascii="ＭＳ 明朝" w:eastAsia="ＭＳ 明朝" w:hAnsi="ＭＳ 明朝" w:hint="eastAsia"/>
                <w:sz w:val="22"/>
              </w:rPr>
              <w:t>に「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="002F3581" w:rsidRPr="00780F44">
              <w:rPr>
                <w:rFonts w:ascii="ＭＳ 明朝" w:eastAsia="ＭＳ 明朝" w:hAnsi="ＭＳ 明朝" w:hint="eastAsia"/>
                <w:sz w:val="22"/>
              </w:rPr>
              <w:t>」（注）を踏まえた取組み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または法人等の特色を活かした取組み</w:t>
            </w:r>
            <w:r w:rsidR="00E27688">
              <w:rPr>
                <w:rFonts w:ascii="ＭＳ 明朝" w:eastAsia="ＭＳ 明朝" w:hAnsi="ＭＳ 明朝" w:hint="eastAsia"/>
                <w:sz w:val="22"/>
              </w:rPr>
              <w:t>やアピールポイントがある</w:t>
            </w:r>
          </w:p>
          <w:p w:rsidR="00E27688" w:rsidRPr="00780F44" w:rsidRDefault="00E27688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:rsidR="00867F91" w:rsidRPr="00780F44" w:rsidRDefault="00867F91" w:rsidP="00E37BC6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府が進める「行政の福祉化」の取組み</w:t>
            </w:r>
            <w:r w:rsidR="00DF2060" w:rsidRPr="00780F44">
              <w:rPr>
                <w:rFonts w:ascii="ＭＳ 明朝" w:eastAsia="ＭＳ 明朝" w:hAnsi="ＭＳ 明朝" w:hint="eastAsia"/>
                <w:sz w:val="22"/>
              </w:rPr>
              <w:t>についての府民の理解を</w:t>
            </w:r>
            <w:r w:rsidR="003C26E3" w:rsidRPr="00780F44">
              <w:rPr>
                <w:rFonts w:ascii="ＭＳ 明朝" w:eastAsia="ＭＳ 明朝" w:hAnsi="ＭＳ 明朝" w:hint="eastAsia"/>
                <w:sz w:val="22"/>
              </w:rPr>
              <w:t>得る</w:t>
            </w:r>
            <w:r w:rsidR="00DF2060" w:rsidRPr="00780F44">
              <w:rPr>
                <w:rFonts w:ascii="ＭＳ 明朝" w:eastAsia="ＭＳ 明朝" w:hAnsi="ＭＳ 明朝" w:hint="eastAsia"/>
                <w:sz w:val="22"/>
              </w:rPr>
              <w:t>ための活動を行っている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581" w:rsidRPr="00780F44" w:rsidRDefault="002F3581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踏まえ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た取組みや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法人等の特色を活かした</w:t>
            </w:r>
            <w:r w:rsidR="009A5F21" w:rsidRPr="00780F44">
              <w:rPr>
                <w:rFonts w:ascii="ＭＳ 明朝" w:eastAsia="ＭＳ 明朝" w:hAnsi="ＭＳ 明朝" w:hint="eastAsia"/>
                <w:sz w:val="22"/>
              </w:rPr>
              <w:t>障がい者の就労支援に関する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取組み</w:t>
            </w:r>
            <w:r w:rsidR="00434F58" w:rsidRPr="00780F4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を行っている場合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2F3581" w:rsidRPr="00780F44" w:rsidRDefault="009A5F21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上記の独自の取組みについて、成果が</w:t>
            </w:r>
            <w:r w:rsidR="00352A00" w:rsidRPr="00780F44">
              <w:rPr>
                <w:rFonts w:ascii="ＭＳ 明朝" w:eastAsia="ＭＳ 明朝" w:hAnsi="ＭＳ 明朝" w:hint="eastAsia"/>
                <w:sz w:val="22"/>
              </w:rPr>
              <w:t>認め</w:t>
            </w:r>
            <w:r w:rsidRPr="00780F44">
              <w:rPr>
                <w:rFonts w:ascii="ＭＳ 明朝" w:eastAsia="ＭＳ 明朝" w:hAnsi="ＭＳ 明朝" w:hint="eastAsia"/>
                <w:sz w:val="22"/>
              </w:rPr>
              <w:t>られる場合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：２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  <w:p w:rsidR="009A5F21" w:rsidRPr="00780F44" w:rsidRDefault="009A5F21" w:rsidP="00E37BC6">
            <w:pPr>
              <w:spacing w:line="260" w:lineRule="exact"/>
              <w:ind w:left="-104"/>
              <w:rPr>
                <w:rFonts w:ascii="ＭＳ 明朝" w:eastAsia="ＭＳ 明朝" w:hAnsi="ＭＳ 明朝"/>
                <w:sz w:val="22"/>
              </w:rPr>
            </w:pPr>
          </w:p>
          <w:p w:rsidR="00867F91" w:rsidRPr="00780F44" w:rsidRDefault="0036653B" w:rsidP="00E37BC6">
            <w:pPr>
              <w:pStyle w:val="a3"/>
              <w:numPr>
                <w:ilvl w:val="0"/>
                <w:numId w:val="13"/>
              </w:numPr>
              <w:spacing w:line="260" w:lineRule="exact"/>
              <w:ind w:leftChars="0" w:left="180" w:hanging="284"/>
              <w:rPr>
                <w:rFonts w:ascii="ＭＳ 明朝" w:eastAsia="ＭＳ 明朝" w:hAnsi="ＭＳ 明朝"/>
                <w:sz w:val="22"/>
              </w:rPr>
            </w:pPr>
            <w:r w:rsidRPr="00780F44">
              <w:rPr>
                <w:rFonts w:ascii="ＭＳ 明朝" w:eastAsia="ＭＳ 明朝" w:hAnsi="ＭＳ 明朝" w:hint="eastAsia"/>
                <w:sz w:val="22"/>
              </w:rPr>
              <w:t>行政の福祉化の取組みを府民へ周知している場合</w:t>
            </w:r>
            <w:r w:rsidR="00CD737E" w:rsidRPr="00780F44">
              <w:rPr>
                <w:rFonts w:ascii="ＭＳ 明朝" w:eastAsia="ＭＳ 明朝" w:hAnsi="ＭＳ 明朝" w:hint="eastAsia"/>
                <w:sz w:val="22"/>
              </w:rPr>
              <w:t>：１</w:t>
            </w:r>
            <w:r w:rsidRPr="00780F44">
              <w:rPr>
                <w:rFonts w:ascii="ＭＳ 明朝" w:eastAsia="ＭＳ 明朝" w:hAnsi="ＭＳ 明朝"/>
                <w:sz w:val="22"/>
              </w:rPr>
              <w:t>点</w:t>
            </w:r>
          </w:p>
        </w:tc>
      </w:tr>
    </w:tbl>
    <w:p w:rsidR="003B03D7" w:rsidRPr="009512C5" w:rsidRDefault="009D4E26" w:rsidP="00E37BC6">
      <w:pPr>
        <w:spacing w:line="240" w:lineRule="exact"/>
        <w:ind w:left="600" w:hangingChars="300" w:hanging="600"/>
        <w:rPr>
          <w:rFonts w:ascii="ＭＳ 明朝" w:eastAsia="ＭＳ 明朝" w:hAnsi="ＭＳ 明朝"/>
          <w:sz w:val="20"/>
        </w:rPr>
      </w:pPr>
      <w:r w:rsidRPr="00780F44">
        <w:rPr>
          <w:rFonts w:ascii="ＭＳ 明朝" w:eastAsia="ＭＳ 明朝" w:hAnsi="ＭＳ 明朝" w:hint="eastAsia"/>
          <w:sz w:val="20"/>
        </w:rPr>
        <w:t>（注）「行政の福祉化」とは、</w:t>
      </w:r>
      <w:r w:rsidR="002F47AF" w:rsidRPr="00780F44">
        <w:rPr>
          <w:rFonts w:ascii="ＭＳ 明朝" w:eastAsia="ＭＳ 明朝" w:hAnsi="ＭＳ 明朝" w:hint="eastAsia"/>
          <w:sz w:val="20"/>
        </w:rPr>
        <w:t>府政のあらゆる分野において、福祉の視点から総点検し、住宅、教育、労働などの各分野の連携のもとに、施策の創意工夫や改善を通じて、障がい者やひとり親家庭の父母などの雇用、就労機会を創出し、自立を支援する取組</w:t>
      </w:r>
      <w:r w:rsidR="001702D8" w:rsidRPr="00780F44">
        <w:rPr>
          <w:rFonts w:ascii="ＭＳ 明朝" w:eastAsia="ＭＳ 明朝" w:hAnsi="ＭＳ 明朝" w:hint="eastAsia"/>
          <w:sz w:val="20"/>
        </w:rPr>
        <w:t>み</w:t>
      </w:r>
      <w:r w:rsidRPr="00780F44">
        <w:rPr>
          <w:rFonts w:ascii="ＭＳ 明朝" w:eastAsia="ＭＳ 明朝" w:hAnsi="ＭＳ 明朝" w:hint="eastAsia"/>
          <w:sz w:val="20"/>
        </w:rPr>
        <w:t>。</w:t>
      </w:r>
    </w:p>
    <w:sectPr w:rsidR="003B03D7" w:rsidRPr="009512C5" w:rsidSect="00E37BC6">
      <w:headerReference w:type="default" r:id="rId7"/>
      <w:pgSz w:w="11906" w:h="16838" w:code="9"/>
      <w:pgMar w:top="454" w:right="1077" w:bottom="454" w:left="1077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4B" w:rsidRDefault="009E6F4B" w:rsidP="00C20EFE">
      <w:r>
        <w:separator/>
      </w:r>
    </w:p>
  </w:endnote>
  <w:endnote w:type="continuationSeparator" w:id="0">
    <w:p w:rsidR="009E6F4B" w:rsidRDefault="009E6F4B" w:rsidP="00C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4B" w:rsidRDefault="009E6F4B" w:rsidP="00C20EFE">
      <w:r>
        <w:separator/>
      </w:r>
    </w:p>
  </w:footnote>
  <w:footnote w:type="continuationSeparator" w:id="0">
    <w:p w:rsidR="009E6F4B" w:rsidRDefault="009E6F4B" w:rsidP="00C2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EF" w:rsidRPr="00D330EF" w:rsidRDefault="00D330EF" w:rsidP="00D330EF">
    <w:pPr>
      <w:pStyle w:val="a4"/>
      <w:jc w:val="right"/>
      <w:rPr>
        <w:b/>
      </w:rPr>
    </w:pPr>
    <w:r w:rsidRPr="00D330EF">
      <w:rPr>
        <w:rFonts w:hint="eastAsia"/>
        <w:b/>
      </w:rPr>
      <w:t>別紙（第3条関係）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1E8"/>
    <w:multiLevelType w:val="hybridMultilevel"/>
    <w:tmpl w:val="9FA6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71A7E"/>
    <w:multiLevelType w:val="hybridMultilevel"/>
    <w:tmpl w:val="001803F8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841D6"/>
    <w:multiLevelType w:val="hybridMultilevel"/>
    <w:tmpl w:val="AFF03632"/>
    <w:lvl w:ilvl="0" w:tplc="7D32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A244FA"/>
    <w:multiLevelType w:val="hybridMultilevel"/>
    <w:tmpl w:val="F0BABF30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04335"/>
    <w:multiLevelType w:val="hybridMultilevel"/>
    <w:tmpl w:val="102E2FD2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8E7C10"/>
    <w:multiLevelType w:val="hybridMultilevel"/>
    <w:tmpl w:val="F5B49B1A"/>
    <w:lvl w:ilvl="0" w:tplc="95D24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E3A34"/>
    <w:multiLevelType w:val="hybridMultilevel"/>
    <w:tmpl w:val="430A52D4"/>
    <w:lvl w:ilvl="0" w:tplc="73D4F30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E4EA6"/>
    <w:multiLevelType w:val="hybridMultilevel"/>
    <w:tmpl w:val="09A45C8E"/>
    <w:lvl w:ilvl="0" w:tplc="4CE41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F0CAD"/>
    <w:multiLevelType w:val="hybridMultilevel"/>
    <w:tmpl w:val="9E7C922A"/>
    <w:lvl w:ilvl="0" w:tplc="6F02F720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7962E38"/>
    <w:multiLevelType w:val="hybridMultilevel"/>
    <w:tmpl w:val="A26EEA5C"/>
    <w:lvl w:ilvl="0" w:tplc="742660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3387B"/>
    <w:multiLevelType w:val="hybridMultilevel"/>
    <w:tmpl w:val="45A06BB4"/>
    <w:lvl w:ilvl="0" w:tplc="7D325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FCDE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54295"/>
    <w:multiLevelType w:val="hybridMultilevel"/>
    <w:tmpl w:val="1BF603A2"/>
    <w:lvl w:ilvl="0" w:tplc="73D4F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E4805"/>
    <w:multiLevelType w:val="hybridMultilevel"/>
    <w:tmpl w:val="70CA95BE"/>
    <w:lvl w:ilvl="0" w:tplc="6F02F7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B"/>
    <w:rsid w:val="00014E19"/>
    <w:rsid w:val="00020419"/>
    <w:rsid w:val="00066D83"/>
    <w:rsid w:val="00077715"/>
    <w:rsid w:val="0015033D"/>
    <w:rsid w:val="001702D8"/>
    <w:rsid w:val="001E18FC"/>
    <w:rsid w:val="001E2EFE"/>
    <w:rsid w:val="002234F8"/>
    <w:rsid w:val="002534D9"/>
    <w:rsid w:val="002B3D8E"/>
    <w:rsid w:val="002E13DD"/>
    <w:rsid w:val="002F3581"/>
    <w:rsid w:val="002F47AF"/>
    <w:rsid w:val="003251F1"/>
    <w:rsid w:val="00352A00"/>
    <w:rsid w:val="00357095"/>
    <w:rsid w:val="0036653B"/>
    <w:rsid w:val="0038608C"/>
    <w:rsid w:val="003B03D7"/>
    <w:rsid w:val="003C26E3"/>
    <w:rsid w:val="003D6B53"/>
    <w:rsid w:val="00422B97"/>
    <w:rsid w:val="00426919"/>
    <w:rsid w:val="00434F58"/>
    <w:rsid w:val="00444039"/>
    <w:rsid w:val="00493CB9"/>
    <w:rsid w:val="00502EA3"/>
    <w:rsid w:val="0057155E"/>
    <w:rsid w:val="00593D04"/>
    <w:rsid w:val="005A6866"/>
    <w:rsid w:val="005E2A2C"/>
    <w:rsid w:val="005F1CA5"/>
    <w:rsid w:val="00607F40"/>
    <w:rsid w:val="00651C63"/>
    <w:rsid w:val="00652932"/>
    <w:rsid w:val="0067788D"/>
    <w:rsid w:val="006D18A9"/>
    <w:rsid w:val="006F2ABD"/>
    <w:rsid w:val="00780F44"/>
    <w:rsid w:val="007E4F97"/>
    <w:rsid w:val="00803137"/>
    <w:rsid w:val="008356C3"/>
    <w:rsid w:val="00847B0F"/>
    <w:rsid w:val="00867F91"/>
    <w:rsid w:val="008D1F8F"/>
    <w:rsid w:val="009050D6"/>
    <w:rsid w:val="009512C5"/>
    <w:rsid w:val="00955CCB"/>
    <w:rsid w:val="009822F2"/>
    <w:rsid w:val="00995ADC"/>
    <w:rsid w:val="009A5F21"/>
    <w:rsid w:val="009B621D"/>
    <w:rsid w:val="009D4E26"/>
    <w:rsid w:val="009E6F4B"/>
    <w:rsid w:val="00A100CB"/>
    <w:rsid w:val="00A5638D"/>
    <w:rsid w:val="00AA3868"/>
    <w:rsid w:val="00AF6FB6"/>
    <w:rsid w:val="00B37E9B"/>
    <w:rsid w:val="00BA655F"/>
    <w:rsid w:val="00BE7EE6"/>
    <w:rsid w:val="00C03760"/>
    <w:rsid w:val="00C20EFE"/>
    <w:rsid w:val="00C220F6"/>
    <w:rsid w:val="00C35AE4"/>
    <w:rsid w:val="00C4187F"/>
    <w:rsid w:val="00CA296B"/>
    <w:rsid w:val="00CA585F"/>
    <w:rsid w:val="00CC635C"/>
    <w:rsid w:val="00CD737E"/>
    <w:rsid w:val="00CE1996"/>
    <w:rsid w:val="00CF290C"/>
    <w:rsid w:val="00CF6870"/>
    <w:rsid w:val="00D330EF"/>
    <w:rsid w:val="00D55976"/>
    <w:rsid w:val="00D824DF"/>
    <w:rsid w:val="00DA0778"/>
    <w:rsid w:val="00DA1F94"/>
    <w:rsid w:val="00DF2060"/>
    <w:rsid w:val="00E27688"/>
    <w:rsid w:val="00E37BC6"/>
    <w:rsid w:val="00E71253"/>
    <w:rsid w:val="00E71762"/>
    <w:rsid w:val="00F050C4"/>
    <w:rsid w:val="00F84CE9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FE"/>
  </w:style>
  <w:style w:type="paragraph" w:styleId="a6">
    <w:name w:val="footer"/>
    <w:basedOn w:val="a"/>
    <w:link w:val="a7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FE"/>
  </w:style>
  <w:style w:type="paragraph" w:styleId="a8">
    <w:name w:val="Balloon Text"/>
    <w:basedOn w:val="a"/>
    <w:link w:val="a9"/>
    <w:uiPriority w:val="99"/>
    <w:semiHidden/>
    <w:unhideWhenUsed/>
    <w:rsid w:val="001E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8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B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D4E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4E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4E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4E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2023-01-19T05:39:00Z</dcterms:created>
  <dcterms:modified xsi:type="dcterms:W3CDTF">2023-01-19T05:39:00Z</dcterms:modified>
</cp:coreProperties>
</file>