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71" w:rsidRPr="00C54B71" w:rsidRDefault="00035C3F" w:rsidP="00C54B71">
      <w:pPr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8"/>
        </w:rPr>
        <w:t>「</w:t>
      </w:r>
      <w:r w:rsidR="001F76F0">
        <w:rPr>
          <w:rFonts w:ascii="Meiryo UI" w:eastAsia="Meiryo UI" w:hAnsi="Meiryo UI" w:hint="eastAsia"/>
          <w:b/>
          <w:sz w:val="28"/>
        </w:rPr>
        <w:t xml:space="preserve">令和４年度　</w:t>
      </w:r>
      <w:r>
        <w:rPr>
          <w:rFonts w:ascii="Meiryo UI" w:eastAsia="Meiryo UI" w:hAnsi="Meiryo UI" w:hint="eastAsia"/>
          <w:b/>
          <w:sz w:val="28"/>
        </w:rPr>
        <w:t>府税のしおり（WEB版）</w:t>
      </w:r>
      <w:r w:rsidR="00C54B71" w:rsidRPr="00C54B71">
        <w:rPr>
          <w:rFonts w:ascii="Meiryo UI" w:eastAsia="Meiryo UI" w:hAnsi="Meiryo UI" w:hint="eastAsia"/>
          <w:b/>
          <w:sz w:val="28"/>
        </w:rPr>
        <w:t>」</w:t>
      </w:r>
      <w:r w:rsidR="001F76F0">
        <w:rPr>
          <w:rFonts w:ascii="Meiryo UI" w:eastAsia="Meiryo UI" w:hAnsi="Meiryo UI" w:hint="eastAsia"/>
          <w:b/>
          <w:sz w:val="28"/>
        </w:rPr>
        <w:t xml:space="preserve">　</w:t>
      </w:r>
      <w:r>
        <w:rPr>
          <w:rFonts w:ascii="Meiryo UI" w:eastAsia="Meiryo UI" w:hAnsi="Meiryo UI" w:hint="eastAsia"/>
          <w:b/>
          <w:sz w:val="28"/>
        </w:rPr>
        <w:t>正誤表</w:t>
      </w:r>
    </w:p>
    <w:p w:rsidR="00C54B71" w:rsidRPr="00C54B71" w:rsidRDefault="00C54B71" w:rsidP="00C54B71">
      <w:pPr>
        <w:jc w:val="left"/>
        <w:rPr>
          <w:rFonts w:ascii="Meiryo UI" w:eastAsia="Meiryo UI" w:hAnsi="Meiryo UI"/>
          <w:b/>
        </w:rPr>
      </w:pPr>
    </w:p>
    <w:tbl>
      <w:tblPr>
        <w:tblStyle w:val="a3"/>
        <w:tblW w:w="14594" w:type="dxa"/>
        <w:tblLayout w:type="fixed"/>
        <w:tblLook w:val="04A0" w:firstRow="1" w:lastRow="0" w:firstColumn="1" w:lastColumn="0" w:noHBand="0" w:noVBand="1"/>
      </w:tblPr>
      <w:tblGrid>
        <w:gridCol w:w="988"/>
        <w:gridCol w:w="6803"/>
        <w:gridCol w:w="6803"/>
      </w:tblGrid>
      <w:tr w:rsidR="001F76F0" w:rsidRPr="00C54B71" w:rsidTr="001F76F0">
        <w:trPr>
          <w:trHeight w:val="437"/>
        </w:trPr>
        <w:tc>
          <w:tcPr>
            <w:tcW w:w="988" w:type="dxa"/>
          </w:tcPr>
          <w:p w:rsidR="001F76F0" w:rsidRDefault="001F76F0" w:rsidP="00C54B7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頁</w:t>
            </w:r>
          </w:p>
        </w:tc>
        <w:tc>
          <w:tcPr>
            <w:tcW w:w="6803" w:type="dxa"/>
          </w:tcPr>
          <w:p w:rsidR="001F76F0" w:rsidRPr="00E5008A" w:rsidRDefault="001F76F0" w:rsidP="00C54B7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正</w:t>
            </w:r>
          </w:p>
        </w:tc>
        <w:tc>
          <w:tcPr>
            <w:tcW w:w="6803" w:type="dxa"/>
          </w:tcPr>
          <w:p w:rsidR="001F76F0" w:rsidRPr="00E5008A" w:rsidRDefault="001F76F0" w:rsidP="00C54B7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誤</w:t>
            </w:r>
          </w:p>
        </w:tc>
      </w:tr>
      <w:tr w:rsidR="001F76F0" w:rsidRPr="00C54B71" w:rsidTr="002C18BE">
        <w:trPr>
          <w:trHeight w:val="6116"/>
        </w:trPr>
        <w:tc>
          <w:tcPr>
            <w:tcW w:w="988" w:type="dxa"/>
          </w:tcPr>
          <w:p w:rsidR="001F76F0" w:rsidRPr="002C18BE" w:rsidRDefault="001F76F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</w:rPr>
            </w:pPr>
            <w:r w:rsidRPr="002C18BE">
              <w:rPr>
                <w:rFonts w:ascii="Meiryo UI" w:eastAsia="Meiryo UI" w:hAnsi="Meiryo UI"/>
              </w:rPr>
              <w:t>P17</w:t>
            </w: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  <w:b/>
              </w:rPr>
            </w:pPr>
          </w:p>
          <w:p w:rsidR="00834040" w:rsidRPr="002C18BE" w:rsidRDefault="00834040" w:rsidP="009A6279">
            <w:pPr>
              <w:ind w:left="1050" w:hangingChars="500" w:hanging="1050"/>
              <w:jc w:val="center"/>
              <w:rPr>
                <w:rFonts w:ascii="Meiryo UI" w:eastAsia="Meiryo UI" w:hAnsi="Meiryo UI"/>
              </w:rPr>
            </w:pPr>
            <w:r w:rsidRPr="002C18BE">
              <w:rPr>
                <w:rFonts w:ascii="Meiryo UI" w:eastAsia="Meiryo UI" w:hAnsi="Meiryo UI"/>
              </w:rPr>
              <w:lastRenderedPageBreak/>
              <w:t>P53</w:t>
            </w:r>
          </w:p>
        </w:tc>
        <w:tc>
          <w:tcPr>
            <w:tcW w:w="6803" w:type="dxa"/>
          </w:tcPr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A215A8">
              <w:rPr>
                <w:rFonts w:ascii="Meiryo UI" w:eastAsia="Meiryo UI" w:hAnsi="Meiryo UI" w:hint="eastAsia"/>
                <w:b/>
                <w:szCs w:val="21"/>
              </w:rPr>
              <w:lastRenderedPageBreak/>
              <w:t>《豆知識　市町村への交付／地方消費税》</w:t>
            </w:r>
          </w:p>
          <w:p w:rsidR="001F76F0" w:rsidRDefault="001F76F0" w:rsidP="00A215A8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払い込まれた地方消費税は、消費に関する指標に基づき、都道府県間で清算されます。</w:t>
            </w:r>
          </w:p>
          <w:p w:rsidR="001F76F0" w:rsidRPr="00A215A8" w:rsidRDefault="001F76F0" w:rsidP="00A215A8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そして、清算後の金額の２分の１相当額が、府内の各市町村へ交付されます。</w:t>
            </w:r>
          </w:p>
          <w:p w:rsidR="001F76F0" w:rsidRDefault="001F76F0" w:rsidP="00A215A8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各市町村へは、この交付すべき金額の２分の１を市町村ごとの「人口（国勢調査）」で、他の２分の１を「従業者数（</w:t>
            </w:r>
            <w:r w:rsidRPr="00A215A8">
              <w:rPr>
                <w:rFonts w:ascii="Meiryo UI" w:eastAsia="Meiryo UI" w:hAnsi="Meiryo UI" w:hint="eastAsia"/>
                <w:color w:val="000000" w:themeColor="text1"/>
                <w:highlight w:val="yellow"/>
                <w:u w:val="single"/>
              </w:rPr>
              <w:t>経済センサス基礎調査</w:t>
            </w:r>
            <w:r w:rsidRPr="00A215A8">
              <w:rPr>
                <w:rFonts w:ascii="Meiryo UI" w:eastAsia="Meiryo UI" w:hAnsi="Meiryo UI" w:hint="eastAsia"/>
                <w:color w:val="000000" w:themeColor="text1"/>
              </w:rPr>
              <w:t>）」で按分して交付することとされています。</w:t>
            </w:r>
          </w:p>
          <w:p w:rsidR="001F76F0" w:rsidRDefault="001F76F0" w:rsidP="001F76F0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/>
                <w:color w:val="000000" w:themeColor="text1"/>
              </w:rPr>
              <w:t>ただし、引上げ分に係る地方消費税については、社会保障財源化されることを踏まえ、全額人口により</w:t>
            </w:r>
            <w:r w:rsidRPr="00A215A8">
              <w:rPr>
                <w:rFonts w:ascii="Meiryo UI" w:eastAsia="Meiryo UI" w:hAnsi="Meiryo UI" w:hint="eastAsia"/>
                <w:color w:val="000000" w:themeColor="text1"/>
              </w:rPr>
              <w:t>按</w:t>
            </w:r>
            <w:r w:rsidRPr="00A215A8">
              <w:rPr>
                <w:rFonts w:ascii="Meiryo UI" w:eastAsia="Meiryo UI" w:hAnsi="Meiryo UI"/>
                <w:color w:val="000000" w:themeColor="text1"/>
              </w:rPr>
              <w:t>分して交付することとされました。</w:t>
            </w: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Default="001F76F0" w:rsidP="001F76F0">
            <w:pPr>
              <w:rPr>
                <w:rFonts w:ascii="Meiryo UI" w:eastAsia="Meiryo UI" w:hAnsi="Meiryo UI"/>
                <w:b/>
              </w:rPr>
            </w:pPr>
          </w:p>
          <w:p w:rsidR="001F76F0" w:rsidRPr="001F76F0" w:rsidRDefault="001F76F0" w:rsidP="001F76F0">
            <w:pPr>
              <w:rPr>
                <w:rFonts w:ascii="Meiryo UI" w:eastAsia="Meiryo UI" w:hAnsi="Meiryo UI"/>
                <w:szCs w:val="21"/>
              </w:rPr>
            </w:pPr>
            <w:r w:rsidRPr="00C63EF7">
              <w:rPr>
                <w:rFonts w:ascii="Meiryo UI" w:eastAsia="Meiryo UI" w:hAnsi="Meiryo UI" w:hint="eastAsia"/>
                <w:szCs w:val="21"/>
              </w:rPr>
              <w:lastRenderedPageBreak/>
              <w:t>⑪大阪自動車税事務所</w:t>
            </w:r>
            <w:r w:rsidRPr="001F76F0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Pr="001F76F0">
              <w:rPr>
                <w:rFonts w:ascii="Meiryo UI" w:eastAsia="Meiryo UI" w:hAnsi="Meiryo UI" w:hint="eastAsia"/>
                <w:szCs w:val="21"/>
              </w:rPr>
              <w:t xml:space="preserve">　電話06(6775)1361</w:t>
            </w:r>
          </w:p>
          <w:p w:rsidR="001F76F0" w:rsidRPr="001F76F0" w:rsidRDefault="001F76F0" w:rsidP="001F76F0">
            <w:pPr>
              <w:rPr>
                <w:rFonts w:ascii="Meiryo UI" w:eastAsia="Meiryo UI" w:hAnsi="Meiryo UI"/>
                <w:szCs w:val="21"/>
              </w:rPr>
            </w:pPr>
            <w:r w:rsidRPr="001F76F0">
              <w:rPr>
                <w:rFonts w:ascii="Meiryo UI" w:eastAsia="Meiryo UI" w:hAnsi="Meiryo UI" w:hint="eastAsia"/>
                <w:szCs w:val="21"/>
              </w:rPr>
              <w:t>〒</w:t>
            </w:r>
            <w:r w:rsidRPr="001F76F0">
              <w:rPr>
                <w:rFonts w:ascii="Meiryo UI" w:eastAsia="Meiryo UI" w:hAnsi="Meiryo UI"/>
                <w:szCs w:val="21"/>
              </w:rPr>
              <w:t>543-85</w:t>
            </w:r>
            <w:r w:rsidRPr="001F76F0">
              <w:rPr>
                <w:rFonts w:ascii="Meiryo UI" w:eastAsia="Meiryo UI" w:hAnsi="Meiryo UI" w:hint="eastAsia"/>
                <w:szCs w:val="21"/>
              </w:rPr>
              <w:t>11</w:t>
            </w:r>
            <w:r w:rsidRPr="001F76F0">
              <w:rPr>
                <w:rFonts w:ascii="Meiryo UI" w:eastAsia="Meiryo UI" w:hAnsi="Meiryo UI"/>
                <w:szCs w:val="21"/>
              </w:rPr>
              <w:t xml:space="preserve"> 大阪市天王寺区伶人町</w:t>
            </w:r>
            <w:r w:rsidRPr="001F76F0">
              <w:rPr>
                <w:rFonts w:ascii="Meiryo UI" w:eastAsia="Meiryo UI" w:hAnsi="Meiryo UI" w:hint="eastAsia"/>
                <w:szCs w:val="21"/>
              </w:rPr>
              <w:t>２</w:t>
            </w:r>
            <w:r w:rsidRPr="001F76F0">
              <w:rPr>
                <w:rFonts w:ascii="Meiryo UI" w:eastAsia="Meiryo UI" w:hAnsi="Meiryo UI"/>
                <w:szCs w:val="21"/>
              </w:rPr>
              <w:t>-</w:t>
            </w:r>
            <w:r w:rsidRPr="001F76F0">
              <w:rPr>
                <w:rFonts w:ascii="Meiryo UI" w:eastAsia="Meiryo UI" w:hAnsi="Meiryo UI" w:hint="eastAsia"/>
                <w:szCs w:val="21"/>
              </w:rPr>
              <w:t>７</w:t>
            </w: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  <w:r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662336" behindDoc="0" locked="0" layoutInCell="1" allowOverlap="1" wp14:anchorId="7CADB56B" wp14:editId="2F15B33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91440</wp:posOffset>
                  </wp:positionV>
                  <wp:extent cx="3030220" cy="2280920"/>
                  <wp:effectExtent l="0" t="0" r="0" b="5080"/>
                  <wp:wrapNone/>
                  <wp:docPr id="1836" name="図 1836" descr="大阪自動車税事務所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大阪自動車税事務所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Pr="001F76F0" w:rsidRDefault="001F76F0" w:rsidP="001F76F0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1F76F0">
              <w:rPr>
                <w:rFonts w:ascii="Meiryo UI" w:eastAsia="Meiryo UI" w:hAnsi="Meiryo UI" w:hint="eastAsia"/>
                <w:sz w:val="18"/>
                <w:szCs w:val="18"/>
              </w:rPr>
              <w:t>地下鉄谷町線「四天王寺前夕陽ヶ丘駅」⑤番出口から</w:t>
            </w:r>
            <w:r w:rsidRPr="001F76F0">
              <w:rPr>
                <w:rFonts w:ascii="Meiryo UI" w:eastAsia="Meiryo UI" w:hAnsi="Meiryo UI"/>
                <w:sz w:val="18"/>
                <w:szCs w:val="18"/>
              </w:rPr>
              <w:t>250ｍ</w:t>
            </w:r>
          </w:p>
          <w:p w:rsidR="001F76F0" w:rsidRPr="001F76F0" w:rsidRDefault="001F76F0" w:rsidP="001F76F0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1F76F0">
              <w:rPr>
                <w:rFonts w:ascii="Meiryo UI" w:eastAsia="Meiryo UI" w:hAnsi="Meiryo UI" w:hint="eastAsia"/>
                <w:sz w:val="18"/>
                <w:szCs w:val="18"/>
              </w:rPr>
              <w:t>地下鉄堺筋線「恵美須町駅」②番出口から</w:t>
            </w:r>
            <w:r w:rsidRPr="001F76F0">
              <w:rPr>
                <w:rFonts w:ascii="Meiryo UI" w:eastAsia="Meiryo UI" w:hAnsi="Meiryo UI"/>
                <w:sz w:val="18"/>
                <w:szCs w:val="18"/>
              </w:rPr>
              <w:t>930ｍ</w:t>
            </w:r>
          </w:p>
          <w:p w:rsidR="001F76F0" w:rsidRPr="007B2B1E" w:rsidRDefault="001F76F0" w:rsidP="001F76F0">
            <w:r w:rsidRPr="001F76F0">
              <w:rPr>
                <w:rFonts w:ascii="Meiryo UI" w:eastAsia="Meiryo UI" w:hAnsi="Meiryo UI"/>
                <w:sz w:val="18"/>
                <w:szCs w:val="18"/>
              </w:rPr>
              <w:t>JR</w:t>
            </w:r>
            <w:r w:rsidRPr="001F76F0">
              <w:rPr>
                <w:rFonts w:ascii="Meiryo UI" w:eastAsia="Meiryo UI" w:hAnsi="Meiryo UI" w:hint="eastAsia"/>
                <w:sz w:val="18"/>
                <w:szCs w:val="18"/>
              </w:rPr>
              <w:t>大阪</w:t>
            </w:r>
            <w:r w:rsidRPr="001F76F0">
              <w:rPr>
                <w:rFonts w:ascii="Meiryo UI" w:eastAsia="Meiryo UI" w:hAnsi="Meiryo UI"/>
                <w:sz w:val="18"/>
                <w:szCs w:val="18"/>
              </w:rPr>
              <w:t>環状線・阪和線・大和路線「天王寺駅」北口から970ｍ</w:t>
            </w:r>
          </w:p>
        </w:tc>
        <w:tc>
          <w:tcPr>
            <w:tcW w:w="6803" w:type="dxa"/>
          </w:tcPr>
          <w:p w:rsidR="001F76F0" w:rsidRDefault="001F76F0" w:rsidP="001F76F0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A215A8">
              <w:rPr>
                <w:rFonts w:ascii="Meiryo UI" w:eastAsia="Meiryo UI" w:hAnsi="Meiryo UI" w:hint="eastAsia"/>
                <w:b/>
                <w:szCs w:val="21"/>
              </w:rPr>
              <w:lastRenderedPageBreak/>
              <w:t>《豆知識　市町村への交付／地方消費税》</w:t>
            </w:r>
          </w:p>
          <w:p w:rsidR="001F76F0" w:rsidRDefault="001F76F0" w:rsidP="001F76F0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払い込まれた地方消費税は、消費に関する指標に基づき、都道府県間で清算されます。</w:t>
            </w:r>
          </w:p>
          <w:p w:rsidR="001F76F0" w:rsidRPr="00A215A8" w:rsidRDefault="001F76F0" w:rsidP="00A215A8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そして、清算後の金額の２分の１相当額が、府内の各市町村へ交付されます。</w:t>
            </w:r>
          </w:p>
          <w:p w:rsidR="001F76F0" w:rsidRDefault="001F76F0" w:rsidP="00A215A8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各市町村へは、この交付すべき金額の２分の１を市町村ごとの「人口（国勢調査）」で、他の２分の１を「従業者数（</w:t>
            </w:r>
            <w:r>
              <w:rPr>
                <w:rFonts w:ascii="Meiryo UI" w:eastAsia="Meiryo UI" w:hAnsi="Meiryo UI" w:hint="eastAsia"/>
                <w:color w:val="000000" w:themeColor="text1"/>
                <w:highlight w:val="yellow"/>
                <w:u w:val="single"/>
              </w:rPr>
              <w:t>事業所・企業統計</w:t>
            </w:r>
            <w:r w:rsidRPr="00A215A8">
              <w:rPr>
                <w:rFonts w:ascii="Meiryo UI" w:eastAsia="Meiryo UI" w:hAnsi="Meiryo UI" w:hint="eastAsia"/>
                <w:color w:val="000000" w:themeColor="text1"/>
              </w:rPr>
              <w:t>）」で按分して交付することとされています。</w:t>
            </w:r>
          </w:p>
          <w:p w:rsidR="001F76F0" w:rsidRDefault="001F76F0" w:rsidP="00A215A8">
            <w:pPr>
              <w:rPr>
                <w:rFonts w:ascii="Meiryo UI" w:eastAsia="Meiryo UI" w:hAnsi="Meiryo UI"/>
                <w:b/>
              </w:rPr>
            </w:pPr>
            <w:r w:rsidRPr="00A215A8">
              <w:rPr>
                <w:rFonts w:ascii="Meiryo UI" w:eastAsia="Meiryo UI" w:hAnsi="Meiryo UI"/>
                <w:color w:val="000000" w:themeColor="text1"/>
              </w:rPr>
              <w:t>ただし、引上げ分に係る地方消費税については、社会保障財源化されることを踏まえ、全額人口により</w:t>
            </w:r>
            <w:r w:rsidRPr="00A215A8">
              <w:rPr>
                <w:rFonts w:ascii="Meiryo UI" w:eastAsia="Meiryo UI" w:hAnsi="Meiryo UI" w:hint="eastAsia"/>
                <w:color w:val="000000" w:themeColor="text1"/>
              </w:rPr>
              <w:t>按</w:t>
            </w:r>
            <w:r w:rsidRPr="00A215A8">
              <w:rPr>
                <w:rFonts w:ascii="Meiryo UI" w:eastAsia="Meiryo UI" w:hAnsi="Meiryo UI"/>
                <w:color w:val="000000" w:themeColor="text1"/>
              </w:rPr>
              <w:t>分して交付することとされました。</w:t>
            </w: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Default="001F76F0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1F76F0" w:rsidRPr="001F76F0" w:rsidRDefault="001F76F0" w:rsidP="001F76F0">
            <w:pPr>
              <w:rPr>
                <w:rFonts w:ascii="Meiryo UI" w:eastAsia="Meiryo UI" w:hAnsi="Meiryo UI"/>
                <w:szCs w:val="21"/>
              </w:rPr>
            </w:pPr>
            <w:r w:rsidRPr="00C63EF7">
              <w:rPr>
                <w:rFonts w:ascii="Meiryo UI" w:eastAsia="Meiryo UI" w:hAnsi="Meiryo UI" w:hint="eastAsia"/>
                <w:szCs w:val="21"/>
              </w:rPr>
              <w:lastRenderedPageBreak/>
              <w:t xml:space="preserve">⑪大阪自動車税事務所　</w:t>
            </w:r>
            <w:r w:rsidRPr="001F76F0">
              <w:rPr>
                <w:rFonts w:ascii="Meiryo UI" w:eastAsia="Meiryo UI" w:hAnsi="Meiryo UI" w:hint="eastAsia"/>
                <w:szCs w:val="21"/>
              </w:rPr>
              <w:t xml:space="preserve">　電話06(6775)1361</w:t>
            </w:r>
          </w:p>
          <w:p w:rsidR="001F76F0" w:rsidRPr="001F76F0" w:rsidRDefault="001F76F0" w:rsidP="001F76F0">
            <w:pPr>
              <w:rPr>
                <w:rFonts w:ascii="Meiryo UI" w:eastAsia="Meiryo UI" w:hAnsi="Meiryo UI"/>
                <w:szCs w:val="21"/>
              </w:rPr>
            </w:pPr>
            <w:r w:rsidRPr="001F76F0">
              <w:rPr>
                <w:rFonts w:ascii="Meiryo UI" w:eastAsia="Meiryo UI" w:hAnsi="Meiryo UI" w:hint="eastAsia"/>
                <w:szCs w:val="21"/>
              </w:rPr>
              <w:t>〒</w:t>
            </w:r>
            <w:r w:rsidRPr="001F76F0">
              <w:rPr>
                <w:rFonts w:ascii="Meiryo UI" w:eastAsia="Meiryo UI" w:hAnsi="Meiryo UI"/>
                <w:szCs w:val="21"/>
              </w:rPr>
              <w:t>543-85</w:t>
            </w:r>
            <w:r w:rsidRPr="001F76F0">
              <w:rPr>
                <w:rFonts w:ascii="Meiryo UI" w:eastAsia="Meiryo UI" w:hAnsi="Meiryo UI" w:hint="eastAsia"/>
                <w:szCs w:val="21"/>
              </w:rPr>
              <w:t>11</w:t>
            </w:r>
            <w:r w:rsidRPr="001F76F0">
              <w:rPr>
                <w:rFonts w:ascii="Meiryo UI" w:eastAsia="Meiryo UI" w:hAnsi="Meiryo UI"/>
                <w:szCs w:val="21"/>
              </w:rPr>
              <w:t xml:space="preserve"> 大阪市天王寺区伶人町</w:t>
            </w:r>
            <w:r w:rsidRPr="001F76F0">
              <w:rPr>
                <w:rFonts w:ascii="Meiryo UI" w:eastAsia="Meiryo UI" w:hAnsi="Meiryo UI" w:hint="eastAsia"/>
                <w:szCs w:val="21"/>
              </w:rPr>
              <w:t>２</w:t>
            </w:r>
            <w:r w:rsidRPr="001F76F0">
              <w:rPr>
                <w:rFonts w:ascii="Meiryo UI" w:eastAsia="Meiryo UI" w:hAnsi="Meiryo UI"/>
                <w:szCs w:val="21"/>
              </w:rPr>
              <w:t>-</w:t>
            </w:r>
            <w:r w:rsidRPr="001F76F0">
              <w:rPr>
                <w:rFonts w:ascii="Meiryo UI" w:eastAsia="Meiryo UI" w:hAnsi="Meiryo UI" w:hint="eastAsia"/>
                <w:szCs w:val="21"/>
              </w:rPr>
              <w:t>７</w:t>
            </w: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  <w:r w:rsidRPr="007669A7">
              <w:rPr>
                <w:rFonts w:ascii="Meiryo UI" w:eastAsia="Meiryo UI" w:hAnsi="Meiryo UI"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6E89542A" wp14:editId="256ED3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2992755" cy="2242820"/>
                  <wp:effectExtent l="0" t="0" r="0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Default="001F76F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1F76F0" w:rsidRPr="001F76F0" w:rsidRDefault="001F76F0" w:rsidP="001F76F0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1F76F0">
              <w:rPr>
                <w:rFonts w:ascii="Meiryo UI" w:eastAsia="Meiryo UI" w:hAnsi="Meiryo UI" w:hint="eastAsia"/>
                <w:sz w:val="18"/>
                <w:szCs w:val="18"/>
              </w:rPr>
              <w:t>地下鉄谷町線「四天王寺前夕陽ヶ丘駅」⑤番出口から</w:t>
            </w:r>
            <w:r w:rsidRPr="001F76F0">
              <w:rPr>
                <w:rFonts w:ascii="Meiryo UI" w:eastAsia="Meiryo UI" w:hAnsi="Meiryo UI"/>
                <w:sz w:val="18"/>
                <w:szCs w:val="18"/>
              </w:rPr>
              <w:t>250ｍ</w:t>
            </w:r>
          </w:p>
          <w:p w:rsidR="001F76F0" w:rsidRPr="001F76F0" w:rsidRDefault="001F76F0" w:rsidP="001F76F0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1F76F0">
              <w:rPr>
                <w:rFonts w:ascii="Meiryo UI" w:eastAsia="Meiryo UI" w:hAnsi="Meiryo UI" w:hint="eastAsia"/>
                <w:sz w:val="18"/>
                <w:szCs w:val="18"/>
              </w:rPr>
              <w:t>地下鉄堺筋線「恵美須町駅」②番出口から</w:t>
            </w:r>
            <w:r w:rsidRPr="001F76F0">
              <w:rPr>
                <w:rFonts w:ascii="Meiryo UI" w:eastAsia="Meiryo UI" w:hAnsi="Meiryo UI"/>
                <w:sz w:val="18"/>
                <w:szCs w:val="18"/>
              </w:rPr>
              <w:t>930ｍ</w:t>
            </w:r>
          </w:p>
          <w:p w:rsidR="001F76F0" w:rsidRPr="00C54B71" w:rsidRDefault="001F76F0" w:rsidP="001F76F0">
            <w:r w:rsidRPr="001F76F0">
              <w:rPr>
                <w:rFonts w:ascii="Meiryo UI" w:eastAsia="Meiryo UI" w:hAnsi="Meiryo UI"/>
                <w:sz w:val="18"/>
                <w:szCs w:val="18"/>
              </w:rPr>
              <w:t>JR</w:t>
            </w:r>
            <w:r w:rsidRPr="001F76F0">
              <w:rPr>
                <w:rFonts w:ascii="Meiryo UI" w:eastAsia="Meiryo UI" w:hAnsi="Meiryo UI" w:hint="eastAsia"/>
                <w:sz w:val="18"/>
                <w:szCs w:val="18"/>
              </w:rPr>
              <w:t>大阪</w:t>
            </w:r>
            <w:r w:rsidRPr="001F76F0">
              <w:rPr>
                <w:rFonts w:ascii="Meiryo UI" w:eastAsia="Meiryo UI" w:hAnsi="Meiryo UI"/>
                <w:sz w:val="18"/>
                <w:szCs w:val="18"/>
              </w:rPr>
              <w:t>環状線・阪和線・大和路線「天王寺駅」北口から970ｍ</w:t>
            </w:r>
          </w:p>
        </w:tc>
      </w:tr>
    </w:tbl>
    <w:p w:rsidR="008E44E4" w:rsidRPr="00C54B71" w:rsidRDefault="008E44E4">
      <w:pPr>
        <w:rPr>
          <w:rFonts w:ascii="Meiryo UI" w:eastAsia="Meiryo UI" w:hAnsi="Meiryo UI"/>
        </w:rPr>
      </w:pPr>
    </w:p>
    <w:sectPr w:rsidR="008E44E4" w:rsidRPr="00C54B71" w:rsidSect="00C54B71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1" w:rsidRDefault="00C54B71" w:rsidP="00C54B71">
      <w:r>
        <w:separator/>
      </w:r>
    </w:p>
  </w:endnote>
  <w:endnote w:type="continuationSeparator" w:id="0">
    <w:p w:rsidR="00C54B71" w:rsidRDefault="00C54B71" w:rsidP="00C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1" w:rsidRDefault="00C54B71" w:rsidP="00C54B71">
      <w:r>
        <w:separator/>
      </w:r>
    </w:p>
  </w:footnote>
  <w:footnote w:type="continuationSeparator" w:id="0">
    <w:p w:rsidR="00C54B71" w:rsidRDefault="00C54B71" w:rsidP="00C5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1" w:rsidRDefault="00C54B71" w:rsidP="00C54B71">
    <w:pPr>
      <w:pStyle w:val="a4"/>
      <w:jc w:val="right"/>
      <w:rPr>
        <w:rFonts w:ascii="Meiryo UI" w:eastAsia="Meiryo UI" w:hAnsi="Meiryo UI"/>
      </w:rPr>
    </w:pPr>
    <w:r w:rsidRPr="00C54B71">
      <w:rPr>
        <w:rFonts w:ascii="Meiryo UI" w:eastAsia="Meiryo UI" w:hAnsi="Meiryo UI" w:hint="eastAsia"/>
      </w:rPr>
      <w:t>大阪府税務局税政課</w:t>
    </w:r>
    <w:r>
      <w:rPr>
        <w:rFonts w:ascii="Meiryo UI" w:eastAsia="Meiryo UI" w:hAnsi="Meiryo UI"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</w:p>
  <w:p w:rsidR="00C54B71" w:rsidRPr="00C54B71" w:rsidRDefault="00FE1317" w:rsidP="00C54B71">
    <w:pPr>
      <w:pStyle w:val="a4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令和４</w:t>
    </w:r>
    <w:r w:rsidR="00C54B71" w:rsidRPr="00C54B71">
      <w:rPr>
        <w:rFonts w:ascii="Meiryo UI" w:eastAsia="Meiryo UI" w:hAnsi="Meiryo UI" w:hint="eastAsia"/>
      </w:rPr>
      <w:t>年</w:t>
    </w:r>
    <w:r>
      <w:rPr>
        <w:rFonts w:ascii="Meiryo UI" w:eastAsia="Meiryo UI" w:hAnsi="Meiryo UI" w:hint="eastAsia"/>
      </w:rPr>
      <w:t>７</w:t>
    </w:r>
    <w:r w:rsidR="00675DA2">
      <w:rPr>
        <w:rFonts w:ascii="Meiryo UI" w:eastAsia="Meiryo UI" w:hAnsi="Meiryo UI" w:hint="eastAsia"/>
      </w:rPr>
      <w:t>月</w:t>
    </w:r>
    <w:r>
      <w:rPr>
        <w:rFonts w:ascii="Meiryo UI" w:eastAsia="Meiryo UI" w:hAnsi="Meiryo UI"/>
      </w:rPr>
      <w:t>29</w:t>
    </w:r>
    <w:r w:rsidR="00C54B71" w:rsidRPr="00C54B71">
      <w:rPr>
        <w:rFonts w:ascii="Meiryo UI" w:eastAsia="Meiryo UI" w:hAnsi="Meiryo UI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7A"/>
    <w:rsid w:val="00035C3F"/>
    <w:rsid w:val="000B3DB5"/>
    <w:rsid w:val="001F76F0"/>
    <w:rsid w:val="002C18BE"/>
    <w:rsid w:val="00400488"/>
    <w:rsid w:val="00675DA2"/>
    <w:rsid w:val="00720CF2"/>
    <w:rsid w:val="0077643D"/>
    <w:rsid w:val="00834040"/>
    <w:rsid w:val="008E44E4"/>
    <w:rsid w:val="0091672F"/>
    <w:rsid w:val="009A6279"/>
    <w:rsid w:val="00A215A8"/>
    <w:rsid w:val="00C54B71"/>
    <w:rsid w:val="00C63EF7"/>
    <w:rsid w:val="00CB42F8"/>
    <w:rsid w:val="00CD1F96"/>
    <w:rsid w:val="00DE407A"/>
    <w:rsid w:val="00E5008A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DBB7F-4D41-4F9C-9709-0DCA82FE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71"/>
  </w:style>
  <w:style w:type="paragraph" w:styleId="a6">
    <w:name w:val="footer"/>
    <w:basedOn w:val="a"/>
    <w:link w:val="a7"/>
    <w:uiPriority w:val="99"/>
    <w:unhideWhenUsed/>
    <w:rsid w:val="00C54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71"/>
  </w:style>
  <w:style w:type="paragraph" w:styleId="a8">
    <w:name w:val="No Spacing"/>
    <w:uiPriority w:val="1"/>
    <w:qFormat/>
    <w:rsid w:val="00A215A8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C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杏子</dc:creator>
  <cp:keywords/>
  <dc:description/>
  <cp:lastModifiedBy>西野　広朗</cp:lastModifiedBy>
  <cp:revision>15</cp:revision>
  <cp:lastPrinted>2022-07-29T00:31:00Z</cp:lastPrinted>
  <dcterms:created xsi:type="dcterms:W3CDTF">2020-11-20T04:59:00Z</dcterms:created>
  <dcterms:modified xsi:type="dcterms:W3CDTF">2022-07-29T00:31:00Z</dcterms:modified>
</cp:coreProperties>
</file>