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73" w:rsidRPr="002452B0" w:rsidRDefault="002162BD" w:rsidP="005F5445">
      <w:pPr>
        <w:ind w:left="240" w:hanging="24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simplePos x="0" y="0"/>
                <wp:positionH relativeFrom="column">
                  <wp:posOffset>4947285</wp:posOffset>
                </wp:positionH>
                <wp:positionV relativeFrom="paragraph">
                  <wp:posOffset>-290195</wp:posOffset>
                </wp:positionV>
                <wp:extent cx="1152525" cy="419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152525" cy="4191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162BD" w:rsidRPr="002162BD" w:rsidRDefault="002162BD" w:rsidP="002162BD">
                            <w:pPr>
                              <w:ind w:left="240" w:hanging="240"/>
                              <w:jc w:val="center"/>
                              <w:rPr>
                                <w:rFonts w:asciiTheme="majorEastAsia" w:eastAsiaTheme="majorEastAsia" w:hAnsiTheme="majorEastAsia"/>
                              </w:rPr>
                            </w:pPr>
                            <w:r w:rsidRPr="002162BD">
                              <w:rPr>
                                <w:rFonts w:asciiTheme="majorEastAsia" w:eastAsiaTheme="majorEastAsia" w:hAnsiTheme="majorEastAsia" w:hint="eastAsia"/>
                              </w:rPr>
                              <w:t>資料</w:t>
                            </w:r>
                            <w:r w:rsidR="00E63FE6">
                              <w:rPr>
                                <w:rFonts w:asciiTheme="majorEastAsia" w:eastAsiaTheme="majorEastAsia" w:hAnsiTheme="majorEastAsia" w:hint="eastAsia"/>
                              </w:rPr>
                              <w:t>１</w:t>
                            </w:r>
                            <w:r w:rsidR="0053768C">
                              <w:rPr>
                                <w:rFonts w:asciiTheme="majorEastAsia" w:eastAsiaTheme="majorEastAsia" w:hAnsiTheme="majorEastAsia" w:hint="eastAsia"/>
                              </w:rPr>
                              <w:t>２</w:t>
                            </w:r>
                            <w:bookmarkStart w:id="0" w:name="_GoBack"/>
                            <w:bookmarkEnd w:id="0"/>
                            <w:r w:rsidR="00EA490D">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389.55pt;margin-top:-22.85pt;width:90.75pt;height:3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" fillcolor="white [3201]" strokecolor="black [3200]" strokeweight=".25pt">
                <v:textbox>
                  <w:txbxContent>
                    <w:p w:rsidR="002162BD" w:rsidRPr="002162BD" w:rsidRDefault="002162BD" w:rsidP="002162BD">
                      <w:pPr>
                        <w:ind w:left="240" w:hanging="240"/>
                        <w:jc w:val="center"/>
                        <w:rPr>
                          <w:rFonts w:asciiTheme="majorEastAsia" w:eastAsiaTheme="majorEastAsia" w:hAnsiTheme="majorEastAsia"/>
                        </w:rPr>
                      </w:pPr>
                      <w:r w:rsidRPr="002162BD">
                        <w:rPr>
                          <w:rFonts w:asciiTheme="majorEastAsia" w:eastAsiaTheme="majorEastAsia" w:hAnsiTheme="majorEastAsia" w:hint="eastAsia"/>
                        </w:rPr>
                        <w:t>資料</w:t>
                      </w:r>
                      <w:r w:rsidR="00E63FE6">
                        <w:rPr>
                          <w:rFonts w:asciiTheme="majorEastAsia" w:eastAsiaTheme="majorEastAsia" w:hAnsiTheme="majorEastAsia" w:hint="eastAsia"/>
                        </w:rPr>
                        <w:t>１</w:t>
                      </w:r>
                      <w:r w:rsidR="0053768C">
                        <w:rPr>
                          <w:rFonts w:asciiTheme="majorEastAsia" w:eastAsiaTheme="majorEastAsia" w:hAnsiTheme="majorEastAsia" w:hint="eastAsia"/>
                        </w:rPr>
                        <w:t>２</w:t>
                      </w:r>
                      <w:bookmarkStart w:id="1" w:name="_GoBack"/>
                      <w:bookmarkEnd w:id="1"/>
                      <w:r w:rsidR="00EA490D">
                        <w:rPr>
                          <w:rFonts w:asciiTheme="majorEastAsia" w:eastAsiaTheme="majorEastAsia" w:hAnsiTheme="majorEastAsia" w:hint="eastAsia"/>
                        </w:rPr>
                        <w:t>－３</w:t>
                      </w:r>
                    </w:p>
                  </w:txbxContent>
                </v:textbox>
              </v:rect>
            </w:pict>
          </mc:Fallback>
        </mc:AlternateContent>
      </w:r>
      <w:r w:rsidR="00E848DB" w:rsidRPr="002452B0">
        <w:rPr>
          <w:rFonts w:asciiTheme="majorEastAsia" w:eastAsiaTheme="majorEastAsia" w:hAnsiTheme="majorEastAsia" w:hint="eastAsia"/>
        </w:rPr>
        <w:t>別に定める基準</w:t>
      </w:r>
      <w:r w:rsidR="00057511">
        <w:rPr>
          <w:rFonts w:asciiTheme="majorEastAsia" w:eastAsiaTheme="majorEastAsia" w:hAnsiTheme="majorEastAsia" w:hint="eastAsia"/>
        </w:rPr>
        <w:t>（案）</w:t>
      </w:r>
    </w:p>
    <w:p w:rsidR="00700930" w:rsidRPr="002452B0" w:rsidRDefault="00700930" w:rsidP="00700930">
      <w:pPr>
        <w:ind w:left="210" w:hanging="210"/>
        <w:rPr>
          <w:sz w:val="21"/>
          <w:szCs w:val="21"/>
        </w:rPr>
      </w:pPr>
    </w:p>
    <w:p w:rsidR="00C6145C" w:rsidRPr="002452B0" w:rsidRDefault="00700930" w:rsidP="00700930">
      <w:pPr>
        <w:ind w:leftChars="100" w:left="240" w:firstLineChars="0" w:firstLine="0"/>
        <w:rPr>
          <w:sz w:val="21"/>
          <w:szCs w:val="21"/>
        </w:rPr>
      </w:pPr>
      <w:r w:rsidRPr="002452B0">
        <w:rPr>
          <w:rFonts w:hint="eastAsia"/>
          <w:sz w:val="21"/>
          <w:szCs w:val="21"/>
        </w:rPr>
        <w:t>大阪府国民健康保険運営方針において「別に定める基準」とは、以下に掲げるものをいう。</w:t>
      </w:r>
      <w:r w:rsidR="00C6145C" w:rsidRPr="002452B0">
        <w:rPr>
          <w:noProof/>
          <w:sz w:val="21"/>
          <w:szCs w:val="21"/>
        </w:rPr>
        <mc:AlternateContent>
          <mc:Choice Requires="wps">
            <w:drawing>
              <wp:anchor distT="0" distB="0" distL="114300" distR="114300" simplePos="0" relativeHeight="251659264" behindDoc="0" locked="0" layoutInCell="1" allowOverlap="1" wp14:anchorId="724DE737" wp14:editId="31AC3074">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24DE737" id="_x0000_t202" coordsize="21600,21600" o:spt="202" path="m,l,21600r21600,l21600,xe">
                <v:stroke joinstyle="miter"/>
                <v:path gradientshapeok="t" o:connecttype="rect"/>
              </v:shapetype>
              <v:shape id="テキスト ボックス 2" o:spid="_x0000_s1026"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">
                <v:textbox style="mso-fit-shape-to-text:t">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rsidR="00C6145C" w:rsidRPr="002452B0" w:rsidRDefault="00C6145C" w:rsidP="00C6145C">
      <w:pPr>
        <w:ind w:left="99" w:hangingChars="47" w:hanging="99"/>
        <w:rPr>
          <w:sz w:val="21"/>
          <w:szCs w:val="21"/>
        </w:rPr>
      </w:pPr>
    </w:p>
    <w:p w:rsidR="00216571" w:rsidRPr="002452B0" w:rsidRDefault="00216571" w:rsidP="00C6145C">
      <w:pPr>
        <w:ind w:left="99" w:hangingChars="47" w:hanging="99"/>
        <w:rPr>
          <w:sz w:val="21"/>
          <w:szCs w:val="21"/>
        </w:rPr>
      </w:pPr>
    </w:p>
    <w:p w:rsidR="00E80E3F" w:rsidRPr="002452B0" w:rsidRDefault="00F02F0C"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 xml:space="preserve">１　</w:t>
      </w:r>
      <w:r w:rsidR="00E80E3F" w:rsidRPr="002452B0">
        <w:rPr>
          <w:rFonts w:asciiTheme="majorEastAsia" w:eastAsiaTheme="majorEastAsia" w:hAnsiTheme="majorEastAsia" w:hint="eastAsia"/>
          <w:sz w:val="21"/>
          <w:szCs w:val="21"/>
        </w:rPr>
        <w:t>保険料の減免</w:t>
      </w:r>
    </w:p>
    <w:p w:rsidR="00F02F0C" w:rsidRPr="002452B0" w:rsidRDefault="00F02F0C" w:rsidP="00700930">
      <w:pPr>
        <w:spacing w:line="220" w:lineRule="exact"/>
        <w:ind w:left="210" w:hanging="210"/>
        <w:rPr>
          <w:rFonts w:asciiTheme="majorEastAsia" w:eastAsiaTheme="majorEastAsia" w:hAnsiTheme="majorEastAsia"/>
          <w:sz w:val="21"/>
          <w:szCs w:val="21"/>
        </w:rPr>
      </w:pPr>
    </w:p>
    <w:p w:rsidR="00E80E3F" w:rsidRPr="002452B0" w:rsidRDefault="00E80E3F"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（１）減免</w:t>
      </w:r>
    </w:p>
    <w:p w:rsidR="00471371" w:rsidRPr="002452B0" w:rsidRDefault="00465175" w:rsidP="00471371">
      <w:pPr>
        <w:ind w:left="420" w:hangingChars="200" w:hanging="420"/>
        <w:rPr>
          <w:sz w:val="21"/>
          <w:szCs w:val="21"/>
        </w:rPr>
      </w:pPr>
      <w:r w:rsidRPr="002452B0">
        <w:rPr>
          <w:rFonts w:hint="eastAsia"/>
          <w:sz w:val="21"/>
          <w:szCs w:val="21"/>
        </w:rPr>
        <w:t xml:space="preserve">　　　</w:t>
      </w:r>
      <w:r w:rsidR="00471371" w:rsidRPr="002452B0">
        <w:rPr>
          <w:rFonts w:hint="eastAsia"/>
          <w:sz w:val="21"/>
          <w:szCs w:val="21"/>
        </w:rPr>
        <w:t>市町村保険者（以下「保険者」という。）は、次のいずれかに該当する世帯であって、必要があると認める時は、その申請により、保険料を減額し、又は納付を免除することができる。</w:t>
      </w:r>
    </w:p>
    <w:p w:rsidR="00471371" w:rsidRPr="002452B0" w:rsidRDefault="00471371" w:rsidP="00471371">
      <w:pPr>
        <w:ind w:leftChars="200" w:left="690" w:hanging="210"/>
        <w:rPr>
          <w:sz w:val="21"/>
          <w:szCs w:val="21"/>
        </w:rPr>
      </w:pPr>
      <w:r w:rsidRPr="002452B0">
        <w:rPr>
          <w:rFonts w:hint="eastAsia"/>
          <w:sz w:val="21"/>
          <w:szCs w:val="21"/>
        </w:rPr>
        <w:t>一　震災、風水害、火災、その他これらに類する災害により、居住する住宅について著しい損害（①全壊、全焼、大規模半壊、②半壊、半焼、③火災による水損又は床上浸水）を受けたとき。</w:t>
      </w:r>
    </w:p>
    <w:p w:rsidR="00471371" w:rsidRPr="002452B0" w:rsidRDefault="00471371" w:rsidP="00471371">
      <w:pPr>
        <w:ind w:leftChars="200" w:left="690" w:hanging="210"/>
        <w:rPr>
          <w:sz w:val="21"/>
          <w:szCs w:val="21"/>
        </w:rPr>
      </w:pPr>
      <w:r w:rsidRPr="002452B0">
        <w:rPr>
          <w:rFonts w:hint="eastAsia"/>
          <w:sz w:val="21"/>
          <w:szCs w:val="21"/>
        </w:rPr>
        <w:t>二　事業又は業務の不振、休廃止、失業等により、</w:t>
      </w:r>
      <w:r w:rsidR="00CC60C3">
        <w:rPr>
          <w:rFonts w:hint="eastAsia"/>
          <w:sz w:val="21"/>
          <w:szCs w:val="21"/>
        </w:rPr>
        <w:t>所得</w:t>
      </w:r>
      <w:r w:rsidRPr="002452B0">
        <w:rPr>
          <w:rFonts w:hint="eastAsia"/>
          <w:sz w:val="21"/>
          <w:szCs w:val="21"/>
        </w:rPr>
        <w:t>が著しく減少したとき。ただし、減少後の所得</w:t>
      </w:r>
      <w:r w:rsidR="00E848DB" w:rsidRPr="002452B0">
        <w:rPr>
          <w:rFonts w:hint="eastAsia"/>
          <w:sz w:val="21"/>
          <w:szCs w:val="21"/>
        </w:rPr>
        <w:t>により算定した保険料</w:t>
      </w:r>
      <w:r w:rsidR="00364733" w:rsidRPr="002452B0">
        <w:rPr>
          <w:rFonts w:hint="eastAsia"/>
          <w:sz w:val="21"/>
          <w:szCs w:val="21"/>
        </w:rPr>
        <w:t>額</w:t>
      </w:r>
      <w:r w:rsidRPr="002452B0">
        <w:rPr>
          <w:rFonts w:hint="eastAsia"/>
          <w:sz w:val="21"/>
          <w:szCs w:val="21"/>
        </w:rPr>
        <w:t>が賦課限度額を超えている場合には、減免は行わないこととする。</w:t>
      </w:r>
    </w:p>
    <w:p w:rsidR="00471B56" w:rsidRPr="00D03BA4" w:rsidRDefault="00471371" w:rsidP="00471371">
      <w:pPr>
        <w:ind w:leftChars="200" w:left="480" w:firstLineChars="0" w:firstLine="0"/>
        <w:rPr>
          <w:sz w:val="21"/>
          <w:szCs w:val="21"/>
        </w:rPr>
      </w:pPr>
      <w:r w:rsidRPr="00D03BA4">
        <w:rPr>
          <w:rFonts w:hint="eastAsia"/>
          <w:sz w:val="21"/>
          <w:szCs w:val="21"/>
        </w:rPr>
        <w:t>三　被保険者が刑事施設、労役場その他これらに準ずる施設に拘禁されたとき。</w:t>
      </w:r>
    </w:p>
    <w:p w:rsidR="00465175" w:rsidRPr="00D03BA4" w:rsidRDefault="00465175" w:rsidP="00BD7F99">
      <w:pPr>
        <w:ind w:leftChars="200" w:left="480" w:firstLineChars="0" w:firstLine="0"/>
        <w:rPr>
          <w:sz w:val="21"/>
          <w:szCs w:val="21"/>
        </w:rPr>
      </w:pPr>
      <w:r w:rsidRPr="00D03BA4">
        <w:rPr>
          <w:rFonts w:hint="eastAsia"/>
          <w:sz w:val="21"/>
          <w:szCs w:val="21"/>
        </w:rPr>
        <w:t>四　世帯内に、次に掲げる</w:t>
      </w:r>
      <w:r w:rsidR="00DB4ED8" w:rsidRPr="00D03BA4">
        <w:rPr>
          <w:rFonts w:hint="eastAsia"/>
          <w:sz w:val="21"/>
          <w:szCs w:val="21"/>
        </w:rPr>
        <w:t>要件のいずれにも</w:t>
      </w:r>
      <w:r w:rsidRPr="00D03BA4">
        <w:rPr>
          <w:rFonts w:hint="eastAsia"/>
          <w:sz w:val="21"/>
          <w:szCs w:val="21"/>
        </w:rPr>
        <w:t>該当する被保険者があるとき。</w:t>
      </w:r>
    </w:p>
    <w:p w:rsidR="00471B56" w:rsidRPr="00D03BA4" w:rsidRDefault="00465175" w:rsidP="00471B56">
      <w:pPr>
        <w:ind w:leftChars="41" w:left="98" w:firstLineChars="300" w:firstLine="630"/>
        <w:rPr>
          <w:sz w:val="21"/>
          <w:szCs w:val="21"/>
        </w:rPr>
      </w:pPr>
      <w:r w:rsidRPr="00D03BA4">
        <w:rPr>
          <w:rFonts w:hint="eastAsia"/>
          <w:sz w:val="21"/>
          <w:szCs w:val="21"/>
        </w:rPr>
        <w:t>①　被保険者資格の取得日において、65歳以上である者</w:t>
      </w:r>
    </w:p>
    <w:p w:rsidR="00465175" w:rsidRDefault="00471B56" w:rsidP="00CC60C3">
      <w:pPr>
        <w:ind w:leftChars="303" w:left="992" w:hangingChars="126" w:hanging="265"/>
        <w:rPr>
          <w:sz w:val="21"/>
          <w:szCs w:val="21"/>
        </w:rPr>
      </w:pPr>
      <w:r w:rsidRPr="00764DB2">
        <w:rPr>
          <w:rFonts w:hint="eastAsia"/>
          <w:sz w:val="21"/>
          <w:szCs w:val="21"/>
        </w:rPr>
        <w:t>②</w:t>
      </w:r>
      <w:r w:rsidR="00465175" w:rsidRPr="00764DB2">
        <w:rPr>
          <w:rFonts w:hint="eastAsia"/>
          <w:sz w:val="21"/>
          <w:szCs w:val="21"/>
        </w:rPr>
        <w:t xml:space="preserve">　被保険者資格の取得日の前日において、各被用者保険等の被保険者</w:t>
      </w:r>
      <w:r w:rsidR="00CC60C3">
        <w:rPr>
          <w:rFonts w:hint="eastAsia"/>
          <w:sz w:val="21"/>
          <w:szCs w:val="21"/>
        </w:rPr>
        <w:t>（当該資格を取得した日において、高齢者の医療の確保に関する法律の規定による被保険者となった者に限る。）</w:t>
      </w:r>
      <w:r w:rsidR="00465175" w:rsidRPr="00764DB2">
        <w:rPr>
          <w:rFonts w:hint="eastAsia"/>
          <w:sz w:val="21"/>
          <w:szCs w:val="21"/>
        </w:rPr>
        <w:t>の被扶養者であった者</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E80E3F" w:rsidRDefault="00E80E3F" w:rsidP="00471B56">
      <w:pPr>
        <w:ind w:left="210" w:hanging="210"/>
        <w:rPr>
          <w:sz w:val="21"/>
          <w:szCs w:val="21"/>
        </w:rPr>
      </w:pPr>
      <w:r w:rsidRPr="00764DB2">
        <w:rPr>
          <w:rFonts w:asciiTheme="majorEastAsia" w:eastAsiaTheme="majorEastAsia" w:hAnsiTheme="majorEastAsia" w:hint="eastAsia"/>
          <w:sz w:val="21"/>
          <w:szCs w:val="21"/>
        </w:rPr>
        <w:t>（２）</w:t>
      </w:r>
      <w:r w:rsidR="002F1646" w:rsidRPr="002F1646">
        <w:rPr>
          <w:rFonts w:asciiTheme="majorEastAsia" w:eastAsiaTheme="majorEastAsia" w:hAnsiTheme="majorEastAsia" w:hint="eastAsia"/>
          <w:sz w:val="21"/>
          <w:szCs w:val="21"/>
        </w:rPr>
        <w:t>減免の対象となる保険料及び減免の割合</w:t>
      </w:r>
    </w:p>
    <w:tbl>
      <w:tblPr>
        <w:tblStyle w:val="a"/>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区分</w:t>
            </w:r>
          </w:p>
        </w:tc>
        <w:tc>
          <w:tcPr>
            <w:tcW w:w="1843"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一　災害</w:t>
            </w:r>
          </w:p>
        </w:tc>
        <w:tc>
          <w:tcPr>
            <w:tcW w:w="2977" w:type="dxa"/>
            <w:vAlign w:val="center"/>
          </w:tcPr>
          <w:p w:rsidR="00050057" w:rsidRPr="00764DB2" w:rsidRDefault="00CC60C3" w:rsidP="00495E45">
            <w:pPr>
              <w:spacing w:line="260" w:lineRule="exact"/>
              <w:ind w:left="0" w:firstLineChars="0" w:firstLine="0"/>
              <w:jc w:val="center"/>
              <w:rPr>
                <w:sz w:val="20"/>
                <w:szCs w:val="21"/>
              </w:rPr>
            </w:pPr>
            <w:r>
              <w:rPr>
                <w:rFonts w:hint="eastAsia"/>
                <w:sz w:val="20"/>
                <w:szCs w:val="21"/>
              </w:rPr>
              <w:t>二　所得</w:t>
            </w:r>
            <w:r w:rsidR="00050057" w:rsidRPr="00764DB2">
              <w:rPr>
                <w:rFonts w:hint="eastAsia"/>
                <w:sz w:val="20"/>
                <w:szCs w:val="21"/>
              </w:rPr>
              <w:t>減少</w:t>
            </w:r>
          </w:p>
        </w:tc>
        <w:tc>
          <w:tcPr>
            <w:tcW w:w="1276"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三　拘禁</w:t>
            </w:r>
          </w:p>
        </w:tc>
        <w:tc>
          <w:tcPr>
            <w:tcW w:w="155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w:t>
            </w:r>
            <w:r>
              <w:rPr>
                <w:rFonts w:hint="eastAsia"/>
                <w:sz w:val="20"/>
                <w:szCs w:val="21"/>
              </w:rPr>
              <w:t xml:space="preserve">　</w:t>
            </w:r>
            <w:r w:rsidRPr="00764DB2">
              <w:rPr>
                <w:rFonts w:hint="eastAsia"/>
                <w:sz w:val="20"/>
                <w:szCs w:val="21"/>
              </w:rPr>
              <w:t>険</w:t>
            </w:r>
            <w:r>
              <w:rPr>
                <w:rFonts w:hint="eastAsia"/>
                <w:sz w:val="20"/>
                <w:szCs w:val="21"/>
              </w:rPr>
              <w:t xml:space="preserve">　</w:t>
            </w:r>
            <w:r w:rsidRPr="00764DB2">
              <w:rPr>
                <w:rFonts w:hint="eastAsia"/>
                <w:sz w:val="20"/>
                <w:szCs w:val="21"/>
              </w:rPr>
              <w:t>料</w:t>
            </w:r>
          </w:p>
        </w:tc>
        <w:tc>
          <w:tcPr>
            <w:tcW w:w="1843"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2977" w:type="dxa"/>
            <w:vAlign w:val="center"/>
          </w:tcPr>
          <w:p w:rsidR="00050057" w:rsidRPr="00764DB2" w:rsidRDefault="00050057" w:rsidP="00495E45">
            <w:pPr>
              <w:spacing w:line="260" w:lineRule="exact"/>
              <w:ind w:left="0" w:firstLineChars="0" w:firstLine="0"/>
              <w:rPr>
                <w:sz w:val="20"/>
                <w:szCs w:val="21"/>
              </w:rPr>
            </w:pPr>
            <w:r w:rsidRPr="00764DB2">
              <w:rPr>
                <w:rFonts w:hint="eastAsia"/>
                <w:sz w:val="20"/>
                <w:szCs w:val="21"/>
              </w:rPr>
              <w:t>応能分のみ</w:t>
            </w:r>
          </w:p>
        </w:tc>
        <w:tc>
          <w:tcPr>
            <w:tcW w:w="1276"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1559"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減免の割合</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被害の程度に応じて３区分（全壊等100％、半壊等70％、火災による水損又は床上浸水50％）</w:t>
            </w:r>
          </w:p>
        </w:tc>
        <w:tc>
          <w:tcPr>
            <w:tcW w:w="2977" w:type="dxa"/>
          </w:tcPr>
          <w:p w:rsidR="00050057" w:rsidRPr="00C77B89" w:rsidRDefault="00050057" w:rsidP="00495E45">
            <w:pPr>
              <w:spacing w:line="260" w:lineRule="exact"/>
              <w:ind w:left="0" w:firstLineChars="0" w:firstLine="0"/>
              <w:rPr>
                <w:sz w:val="20"/>
                <w:szCs w:val="21"/>
              </w:rPr>
            </w:pPr>
            <w:r w:rsidRPr="00764DB2">
              <w:rPr>
                <w:rFonts w:hint="eastAsia"/>
                <w:sz w:val="20"/>
                <w:szCs w:val="21"/>
              </w:rPr>
              <w:t>前年所得からの減少率に応じて、</w:t>
            </w:r>
            <w:r w:rsidRPr="00C77B89">
              <w:rPr>
                <w:rFonts w:hint="eastAsia"/>
                <w:sz w:val="20"/>
                <w:szCs w:val="21"/>
              </w:rPr>
              <w:t>８区分</w:t>
            </w:r>
          </w:p>
          <w:p w:rsidR="00050057" w:rsidRPr="00C77B89" w:rsidRDefault="00050057" w:rsidP="00495E45">
            <w:pPr>
              <w:spacing w:line="260" w:lineRule="exact"/>
              <w:ind w:left="0" w:firstLineChars="0" w:firstLine="0"/>
              <w:rPr>
                <w:sz w:val="20"/>
                <w:szCs w:val="21"/>
              </w:rPr>
            </w:pPr>
            <w:r w:rsidRPr="00C77B89">
              <w:rPr>
                <w:rFonts w:hint="eastAsia"/>
                <w:sz w:val="20"/>
                <w:szCs w:val="21"/>
              </w:rPr>
              <w:t>（減少率が</w:t>
            </w:r>
          </w:p>
          <w:p w:rsidR="00050057" w:rsidRPr="00C77B89" w:rsidRDefault="00050057" w:rsidP="00495E45">
            <w:pPr>
              <w:spacing w:line="260" w:lineRule="exact"/>
              <w:ind w:left="0" w:firstLineChars="0" w:firstLine="0"/>
              <w:rPr>
                <w:sz w:val="20"/>
                <w:szCs w:val="21"/>
              </w:rPr>
            </w:pPr>
            <w:r w:rsidRPr="00C77B89">
              <w:rPr>
                <w:sz w:val="20"/>
                <w:szCs w:val="21"/>
              </w:rPr>
              <w:t>30％以上</w:t>
            </w:r>
            <w:r w:rsidRPr="00C77B89">
              <w:rPr>
                <w:rFonts w:hint="eastAsia"/>
                <w:sz w:val="20"/>
                <w:szCs w:val="21"/>
              </w:rPr>
              <w:t>4</w:t>
            </w:r>
            <w:r w:rsidRPr="00C77B89">
              <w:rPr>
                <w:sz w:val="20"/>
                <w:szCs w:val="21"/>
              </w:rPr>
              <w:t>0％未満：30％、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4</w:t>
            </w:r>
            <w:r w:rsidRPr="00C77B89">
              <w:rPr>
                <w:sz w:val="20"/>
                <w:szCs w:val="21"/>
              </w:rPr>
              <w:t>0％以上</w:t>
            </w:r>
            <w:r w:rsidRPr="00C77B89">
              <w:rPr>
                <w:rFonts w:hint="eastAsia"/>
                <w:sz w:val="20"/>
                <w:szCs w:val="21"/>
              </w:rPr>
              <w:t>5</w:t>
            </w:r>
            <w:r w:rsidRPr="00C77B89">
              <w:rPr>
                <w:sz w:val="20"/>
                <w:szCs w:val="21"/>
              </w:rPr>
              <w:t>0％未満：</w:t>
            </w:r>
            <w:r w:rsidRPr="00C77B89">
              <w:rPr>
                <w:rFonts w:hint="eastAsia"/>
                <w:sz w:val="20"/>
                <w:szCs w:val="21"/>
              </w:rPr>
              <w:t>4</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5</w:t>
            </w:r>
            <w:r w:rsidRPr="00C77B89">
              <w:rPr>
                <w:sz w:val="20"/>
                <w:szCs w:val="21"/>
              </w:rPr>
              <w:t>0％以上</w:t>
            </w:r>
            <w:r w:rsidRPr="00C77B89">
              <w:rPr>
                <w:rFonts w:hint="eastAsia"/>
                <w:sz w:val="20"/>
                <w:szCs w:val="21"/>
              </w:rPr>
              <w:t>6</w:t>
            </w:r>
            <w:r w:rsidRPr="00C77B89">
              <w:rPr>
                <w:sz w:val="20"/>
                <w:szCs w:val="21"/>
              </w:rPr>
              <w:t>0％未満：</w:t>
            </w:r>
            <w:r w:rsidRPr="00C77B89">
              <w:rPr>
                <w:rFonts w:hint="eastAsia"/>
                <w:sz w:val="20"/>
                <w:szCs w:val="21"/>
              </w:rPr>
              <w:t>5</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6</w:t>
            </w:r>
            <w:r w:rsidRPr="00C77B89">
              <w:rPr>
                <w:sz w:val="20"/>
                <w:szCs w:val="21"/>
              </w:rPr>
              <w:t>0％以上</w:t>
            </w:r>
            <w:r w:rsidRPr="00C77B89">
              <w:rPr>
                <w:rFonts w:hint="eastAsia"/>
                <w:sz w:val="20"/>
                <w:szCs w:val="21"/>
              </w:rPr>
              <w:t>7</w:t>
            </w:r>
            <w:r w:rsidRPr="00C77B89">
              <w:rPr>
                <w:sz w:val="20"/>
                <w:szCs w:val="21"/>
              </w:rPr>
              <w:t>0％未満：</w:t>
            </w:r>
            <w:r w:rsidRPr="00C77B89">
              <w:rPr>
                <w:rFonts w:hint="eastAsia"/>
                <w:sz w:val="20"/>
                <w:szCs w:val="21"/>
              </w:rPr>
              <w:t>6</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7</w:t>
            </w:r>
            <w:r w:rsidRPr="00C77B89">
              <w:rPr>
                <w:sz w:val="20"/>
                <w:szCs w:val="21"/>
              </w:rPr>
              <w:t>0％以上</w:t>
            </w:r>
            <w:r w:rsidRPr="00C77B89">
              <w:rPr>
                <w:rFonts w:hint="eastAsia"/>
                <w:sz w:val="20"/>
                <w:szCs w:val="21"/>
              </w:rPr>
              <w:t>8</w:t>
            </w:r>
            <w:r w:rsidRPr="00C77B89">
              <w:rPr>
                <w:sz w:val="20"/>
                <w:szCs w:val="21"/>
              </w:rPr>
              <w:t>0％未満：</w:t>
            </w:r>
            <w:r w:rsidRPr="00C77B89">
              <w:rPr>
                <w:rFonts w:hint="eastAsia"/>
                <w:sz w:val="20"/>
                <w:szCs w:val="21"/>
              </w:rPr>
              <w:t>7</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8</w:t>
            </w:r>
            <w:r w:rsidRPr="00C77B89">
              <w:rPr>
                <w:sz w:val="20"/>
                <w:szCs w:val="21"/>
              </w:rPr>
              <w:t>0％以上</w:t>
            </w:r>
            <w:r w:rsidRPr="00C77B89">
              <w:rPr>
                <w:rFonts w:hint="eastAsia"/>
                <w:sz w:val="20"/>
                <w:szCs w:val="21"/>
              </w:rPr>
              <w:t>9</w:t>
            </w:r>
            <w:r w:rsidRPr="00C77B89">
              <w:rPr>
                <w:sz w:val="20"/>
                <w:szCs w:val="21"/>
              </w:rPr>
              <w:t>0％未満：</w:t>
            </w:r>
            <w:r w:rsidRPr="00C77B89">
              <w:rPr>
                <w:rFonts w:hint="eastAsia"/>
                <w:sz w:val="20"/>
                <w:szCs w:val="21"/>
              </w:rPr>
              <w:t>8</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同90％以上100％</w:t>
            </w:r>
            <w:r w:rsidRPr="00C77B89">
              <w:rPr>
                <w:rFonts w:hint="eastAsia"/>
                <w:sz w:val="20"/>
                <w:szCs w:val="21"/>
              </w:rPr>
              <w:t>未満</w:t>
            </w:r>
            <w:r w:rsidRPr="00C77B89">
              <w:rPr>
                <w:sz w:val="20"/>
                <w:szCs w:val="21"/>
              </w:rPr>
              <w:t>：90％</w:t>
            </w:r>
            <w:r w:rsidRPr="00C77B89">
              <w:rPr>
                <w:rFonts w:hint="eastAsia"/>
                <w:sz w:val="20"/>
                <w:szCs w:val="21"/>
              </w:rPr>
              <w:t>、</w:t>
            </w:r>
          </w:p>
          <w:p w:rsidR="00050057" w:rsidRPr="00764DB2" w:rsidRDefault="00050057" w:rsidP="00495E45">
            <w:pPr>
              <w:spacing w:line="260" w:lineRule="exact"/>
              <w:ind w:left="0" w:firstLineChars="0" w:firstLine="0"/>
              <w:rPr>
                <w:sz w:val="20"/>
                <w:szCs w:val="21"/>
              </w:rPr>
            </w:pPr>
            <w:r>
              <w:rPr>
                <w:rFonts w:hint="eastAsia"/>
                <w:sz w:val="20"/>
                <w:szCs w:val="21"/>
              </w:rPr>
              <w:t>同</w:t>
            </w:r>
            <w:r w:rsidRPr="00C77B89">
              <w:rPr>
                <w:rFonts w:hint="eastAsia"/>
                <w:sz w:val="20"/>
                <w:szCs w:val="21"/>
              </w:rPr>
              <w:t>100％：100％</w:t>
            </w:r>
            <w:r w:rsidRPr="008B2D53">
              <w:rPr>
                <w:rFonts w:hint="eastAsia"/>
                <w:sz w:val="20"/>
                <w:szCs w:val="21"/>
              </w:rPr>
              <w:t>）</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100％</w:t>
            </w:r>
          </w:p>
        </w:tc>
        <w:tc>
          <w:tcPr>
            <w:tcW w:w="1559"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所得割10割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均等割５割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平等割５割（旧被扶養者のみで構成される世帯に限る。）</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対象期間</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減免の申請のあった日の属する年度末まで（ただし、必要に応じ、当該申請日の属する年度の翌年度末まで</w:t>
            </w:r>
            <w:r w:rsidR="00CC60C3">
              <w:rPr>
                <w:rFonts w:hint="eastAsia"/>
                <w:sz w:val="20"/>
                <w:szCs w:val="21"/>
              </w:rPr>
              <w:t>【被災した日が属する月から起算し、最大12月】</w:t>
            </w:r>
            <w:r w:rsidRPr="00764DB2">
              <w:rPr>
                <w:rFonts w:hint="eastAsia"/>
                <w:sz w:val="20"/>
                <w:szCs w:val="21"/>
              </w:rPr>
              <w:t>延期することができる。）</w:t>
            </w:r>
          </w:p>
        </w:tc>
        <w:tc>
          <w:tcPr>
            <w:tcW w:w="2977"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拘禁されている期間</w:t>
            </w:r>
          </w:p>
        </w:tc>
        <w:tc>
          <w:tcPr>
            <w:tcW w:w="1559" w:type="dxa"/>
          </w:tcPr>
          <w:p w:rsidR="00050057" w:rsidRPr="00764DB2" w:rsidRDefault="00CC60C3" w:rsidP="00495E45">
            <w:pPr>
              <w:spacing w:line="260" w:lineRule="exact"/>
              <w:ind w:left="0" w:firstLineChars="0" w:firstLine="0"/>
              <w:rPr>
                <w:sz w:val="20"/>
                <w:szCs w:val="21"/>
              </w:rPr>
            </w:pPr>
            <w:r w:rsidRPr="00CC60C3">
              <w:rPr>
                <w:rFonts w:hint="eastAsia"/>
                <w:sz w:val="20"/>
                <w:szCs w:val="21"/>
              </w:rPr>
              <w:t>減免の申請のあった日の属する月以降</w:t>
            </w:r>
            <w:r w:rsidR="00A03CA1" w:rsidRPr="00FC4C00">
              <w:rPr>
                <w:rFonts w:hint="eastAsia"/>
                <w:color w:val="000000" w:themeColor="text1"/>
                <w:sz w:val="20"/>
                <w:szCs w:val="21"/>
              </w:rPr>
              <w:t>(ただし、均等割及び平等割に係る減免については、資格取得日の属する月以後２年を経過する月までの間に限る。)</w:t>
            </w:r>
          </w:p>
        </w:tc>
      </w:tr>
    </w:tbl>
    <w:p w:rsidR="00D1767B" w:rsidRDefault="00050057" w:rsidP="00D1767B">
      <w:pPr>
        <w:ind w:left="99" w:hangingChars="47" w:hanging="99"/>
        <w:rPr>
          <w:rFonts w:asciiTheme="majorEastAsia" w:eastAsiaTheme="majorEastAsia" w:hAnsiTheme="majorEastAsia"/>
          <w:sz w:val="21"/>
          <w:szCs w:val="21"/>
        </w:rPr>
      </w:pPr>
      <w:r>
        <w:rPr>
          <w:rFonts w:asciiTheme="majorEastAsia" w:eastAsiaTheme="majorEastAsia" w:hAnsiTheme="majorEastAsia"/>
          <w:sz w:val="21"/>
          <w:szCs w:val="21"/>
          <w:bdr w:val="single" w:sz="4" w:space="0" w:color="auto"/>
        </w:rPr>
        <w:br w:type="page"/>
      </w:r>
      <w:r w:rsidR="00D1767B" w:rsidRPr="00F02F0C">
        <w:rPr>
          <w:rFonts w:asciiTheme="majorEastAsia" w:eastAsiaTheme="majorEastAsia" w:hAnsiTheme="majorEastAsia" w:hint="eastAsia"/>
          <w:sz w:val="21"/>
          <w:szCs w:val="21"/>
        </w:rPr>
        <w:lastRenderedPageBreak/>
        <w:t>２　一部負担金の減免及び徴収猶予</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（１）減免</w:t>
      </w:r>
    </w:p>
    <w:p w:rsidR="00D1767B" w:rsidRPr="00C52E51" w:rsidRDefault="00D1767B" w:rsidP="00D1767B">
      <w:pPr>
        <w:ind w:left="420" w:hangingChars="200" w:hanging="420"/>
        <w:rPr>
          <w:color w:val="000000" w:themeColor="text1"/>
          <w:sz w:val="21"/>
          <w:szCs w:val="21"/>
        </w:rPr>
      </w:pPr>
      <w:r w:rsidRPr="00C52E51">
        <w:rPr>
          <w:rFonts w:hint="eastAsia"/>
          <w:color w:val="000000" w:themeColor="text1"/>
          <w:sz w:val="21"/>
          <w:szCs w:val="21"/>
        </w:rPr>
        <w:t xml:space="preserve">　　　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D1767B" w:rsidRPr="00C52E51" w:rsidRDefault="00D1767B" w:rsidP="00D1767B">
      <w:pPr>
        <w:ind w:left="630" w:hangingChars="300" w:hanging="630"/>
        <w:rPr>
          <w:color w:val="000000" w:themeColor="text1"/>
          <w:sz w:val="21"/>
          <w:szCs w:val="21"/>
        </w:rPr>
      </w:pPr>
      <w:r w:rsidRPr="00C52E51">
        <w:rPr>
          <w:rFonts w:hint="eastAsia"/>
          <w:color w:val="000000" w:themeColor="text1"/>
          <w:sz w:val="21"/>
          <w:szCs w:val="21"/>
        </w:rPr>
        <w:t xml:space="preserve">　　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rsidR="00D1767B" w:rsidRPr="00C52E51" w:rsidRDefault="00D1767B" w:rsidP="00D1767B">
      <w:pPr>
        <w:ind w:leftChars="6" w:left="14" w:firstLineChars="200" w:firstLine="420"/>
        <w:rPr>
          <w:color w:val="000000" w:themeColor="text1"/>
          <w:sz w:val="21"/>
          <w:szCs w:val="21"/>
        </w:rPr>
      </w:pPr>
      <w:r w:rsidRPr="00C52E51">
        <w:rPr>
          <w:rFonts w:hint="eastAsia"/>
          <w:color w:val="000000" w:themeColor="text1"/>
          <w:sz w:val="21"/>
          <w:szCs w:val="21"/>
        </w:rPr>
        <w:t>二　次に掲げる事由等により、世帯収入が著しく減少したとき（下表左欄のそれぞれの対象期間に</w:t>
      </w:r>
    </w:p>
    <w:p w:rsidR="00D1767B" w:rsidRPr="00C52E51" w:rsidRDefault="00D1767B" w:rsidP="00D1767B">
      <w:pPr>
        <w:ind w:leftChars="6" w:left="14" w:firstLineChars="300" w:firstLine="630"/>
        <w:rPr>
          <w:color w:val="000000" w:themeColor="text1"/>
          <w:sz w:val="21"/>
          <w:szCs w:val="21"/>
        </w:rPr>
      </w:pPr>
      <w:r w:rsidRPr="00C52E51">
        <w:rPr>
          <w:rFonts w:hint="eastAsia"/>
          <w:color w:val="000000" w:themeColor="text1"/>
          <w:sz w:val="21"/>
          <w:szCs w:val="21"/>
        </w:rPr>
        <w:t>おける世帯収入見込みが生活保護基準に下表右欄の値を乗じた額</w:t>
      </w:r>
      <w:r w:rsidRPr="00C52E51">
        <w:rPr>
          <w:color w:val="000000" w:themeColor="text1"/>
          <w:sz w:val="21"/>
          <w:szCs w:val="21"/>
        </w:rPr>
        <w:t>以下であり、かつ、申請時点で</w:t>
      </w:r>
    </w:p>
    <w:p w:rsidR="00D1767B" w:rsidRPr="00C52E51" w:rsidRDefault="00D1767B" w:rsidP="00D1767B">
      <w:pPr>
        <w:ind w:leftChars="6" w:left="14" w:firstLineChars="300" w:firstLine="630"/>
        <w:rPr>
          <w:color w:val="000000" w:themeColor="text1"/>
          <w:sz w:val="21"/>
          <w:szCs w:val="21"/>
        </w:rPr>
      </w:pPr>
      <w:r w:rsidRPr="00C52E51">
        <w:rPr>
          <w:color w:val="000000" w:themeColor="text1"/>
          <w:sz w:val="21"/>
          <w:szCs w:val="21"/>
        </w:rPr>
        <w:t>の預貯金の額が生活保護基準</w:t>
      </w:r>
      <w:r w:rsidRPr="00C52E51">
        <w:rPr>
          <w:rFonts w:hint="eastAsia"/>
          <w:color w:val="000000" w:themeColor="text1"/>
          <w:sz w:val="21"/>
          <w:szCs w:val="21"/>
        </w:rPr>
        <w:t>に下表右欄の値を乗じた額</w:t>
      </w:r>
      <w:r w:rsidRPr="00C52E51">
        <w:rPr>
          <w:color w:val="000000" w:themeColor="text1"/>
          <w:sz w:val="21"/>
          <w:szCs w:val="21"/>
        </w:rPr>
        <w:t>の３箇月分以下であること）。</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①　事業又は業務の休廃止、失業</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②　干ばつ、冷害、凍霜害等による農作物の不作、不漁</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③　世帯主（主たる生計維持者を含む）の死亡、入院、傷病</w:t>
      </w:r>
    </w:p>
    <w:p w:rsidR="00D1767B" w:rsidRPr="00C52E51" w:rsidRDefault="00D1767B" w:rsidP="00D1767B">
      <w:pPr>
        <w:ind w:leftChars="20" w:left="48" w:firstLineChars="300" w:firstLine="630"/>
        <w:rPr>
          <w:color w:val="000000" w:themeColor="text1"/>
          <w:sz w:val="21"/>
          <w:szCs w:val="21"/>
        </w:rPr>
      </w:pPr>
    </w:p>
    <w:tbl>
      <w:tblPr>
        <w:tblStyle w:val="a"/>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C52E51" w:rsidRPr="00C52E51" w:rsidTr="00803517">
        <w:trPr>
          <w:trHeight w:val="386"/>
        </w:trPr>
        <w:tc>
          <w:tcPr>
            <w:tcW w:w="5750" w:type="dxa"/>
            <w:vAlign w:val="center"/>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bCs/>
                <w:color w:val="000000" w:themeColor="text1"/>
                <w:sz w:val="21"/>
                <w:szCs w:val="21"/>
              </w:rPr>
              <w:t>対象期間</w:t>
            </w:r>
          </w:p>
        </w:tc>
        <w:tc>
          <w:tcPr>
            <w:tcW w:w="3119" w:type="dxa"/>
            <w:vAlign w:val="center"/>
          </w:tcPr>
          <w:p w:rsidR="00D1767B" w:rsidRPr="00C52E51" w:rsidRDefault="00D1767B" w:rsidP="00803517">
            <w:pPr>
              <w:spacing w:line="220" w:lineRule="exact"/>
              <w:ind w:left="210" w:hanging="210"/>
              <w:jc w:val="center"/>
              <w:rPr>
                <w:rFonts w:asciiTheme="minorEastAsia" w:eastAsiaTheme="minorEastAsia" w:hAnsiTheme="minorEastAsia"/>
                <w:bCs/>
                <w:color w:val="000000" w:themeColor="text1"/>
                <w:sz w:val="21"/>
                <w:szCs w:val="21"/>
              </w:rPr>
            </w:pPr>
            <w:r w:rsidRPr="00C52E51">
              <w:rPr>
                <w:rFonts w:asciiTheme="minorEastAsia" w:eastAsiaTheme="minorEastAsia" w:hAnsiTheme="minorEastAsia" w:hint="eastAsia"/>
                <w:bCs/>
                <w:color w:val="000000" w:themeColor="text1"/>
                <w:sz w:val="21"/>
                <w:szCs w:val="21"/>
              </w:rPr>
              <w:t>減免基準</w:t>
            </w:r>
          </w:p>
        </w:tc>
      </w:tr>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平成30年9月30日まで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11 / 10</w:t>
            </w:r>
          </w:p>
        </w:tc>
      </w:tr>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平成30年10月1</w:t>
            </w:r>
            <w:r w:rsidR="00D81BEC">
              <w:rPr>
                <w:rFonts w:asciiTheme="minorEastAsia" w:eastAsiaTheme="minorEastAsia" w:hAnsiTheme="minorEastAsia" w:hint="eastAsia"/>
                <w:color w:val="000000" w:themeColor="text1"/>
                <w:sz w:val="21"/>
                <w:szCs w:val="21"/>
              </w:rPr>
              <w:t>日から令和元</w:t>
            </w:r>
            <w:r w:rsidRPr="00C52E51">
              <w:rPr>
                <w:rFonts w:asciiTheme="minorEastAsia" w:eastAsiaTheme="minorEastAsia" w:hAnsiTheme="minorEastAsia" w:hint="eastAsia"/>
                <w:color w:val="000000" w:themeColor="text1"/>
                <w:sz w:val="21"/>
                <w:szCs w:val="21"/>
              </w:rPr>
              <w:t>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990 / 885</w:t>
            </w:r>
          </w:p>
        </w:tc>
      </w:tr>
      <w:tr w:rsidR="00C52E51" w:rsidRPr="00C52E51" w:rsidTr="00803517">
        <w:trPr>
          <w:trHeight w:val="386"/>
        </w:trPr>
        <w:tc>
          <w:tcPr>
            <w:tcW w:w="5750" w:type="dxa"/>
            <w:vAlign w:val="center"/>
            <w:hideMark/>
          </w:tcPr>
          <w:p w:rsidR="00D1767B" w:rsidRPr="00C52E51" w:rsidRDefault="00D81BEC" w:rsidP="00803517">
            <w:pPr>
              <w:spacing w:line="220" w:lineRule="exact"/>
              <w:ind w:left="210" w:hanging="21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令和元</w:t>
            </w:r>
            <w:r w:rsidR="00D1767B" w:rsidRPr="00C52E51">
              <w:rPr>
                <w:rFonts w:asciiTheme="minorEastAsia" w:eastAsiaTheme="minorEastAsia" w:hAnsiTheme="minorEastAsia" w:hint="eastAsia"/>
                <w:color w:val="000000" w:themeColor="text1"/>
                <w:sz w:val="21"/>
                <w:szCs w:val="21"/>
              </w:rPr>
              <w:t>年10月1日から</w:t>
            </w:r>
            <w:r>
              <w:rPr>
                <w:rFonts w:asciiTheme="minorEastAsia" w:eastAsiaTheme="minorEastAsia" w:hAnsiTheme="minorEastAsia" w:hint="eastAsia"/>
                <w:color w:val="000000" w:themeColor="text1"/>
                <w:sz w:val="21"/>
                <w:szCs w:val="21"/>
              </w:rPr>
              <w:t>令和２</w:t>
            </w:r>
            <w:r w:rsidR="00D1767B" w:rsidRPr="00C52E51">
              <w:rPr>
                <w:rFonts w:asciiTheme="minorEastAsia" w:eastAsiaTheme="minorEastAsia" w:hAnsiTheme="minorEastAsia" w:hint="eastAsia"/>
                <w:color w:val="000000" w:themeColor="text1"/>
                <w:sz w:val="21"/>
                <w:szCs w:val="21"/>
              </w:rPr>
              <w:t>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990 / 870</w:t>
            </w:r>
          </w:p>
        </w:tc>
      </w:tr>
      <w:tr w:rsidR="00C52E51" w:rsidRPr="00C52E51" w:rsidTr="00803517">
        <w:trPr>
          <w:trHeight w:val="386"/>
        </w:trPr>
        <w:tc>
          <w:tcPr>
            <w:tcW w:w="5750" w:type="dxa"/>
            <w:vAlign w:val="center"/>
            <w:hideMark/>
          </w:tcPr>
          <w:p w:rsidR="00D1767B" w:rsidRPr="00C52E51" w:rsidRDefault="00D81BEC" w:rsidP="00803517">
            <w:pPr>
              <w:spacing w:line="220" w:lineRule="exact"/>
              <w:ind w:left="210" w:hanging="21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令和２</w:t>
            </w:r>
            <w:r w:rsidR="00D1767B" w:rsidRPr="00C52E51">
              <w:rPr>
                <w:rFonts w:asciiTheme="minorEastAsia" w:eastAsiaTheme="minorEastAsia" w:hAnsiTheme="minorEastAsia" w:hint="eastAsia"/>
                <w:color w:val="000000" w:themeColor="text1"/>
                <w:sz w:val="21"/>
                <w:szCs w:val="21"/>
              </w:rPr>
              <w:t>年10月1日以降</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1,155 / 1,000</w:t>
            </w:r>
          </w:p>
        </w:tc>
      </w:tr>
    </w:tbl>
    <w:p w:rsidR="00D1767B" w:rsidRDefault="00D1767B" w:rsidP="00D1767B">
      <w:pPr>
        <w:spacing w:line="220" w:lineRule="exact"/>
        <w:ind w:left="210" w:hanging="210"/>
        <w:rPr>
          <w:rFonts w:asciiTheme="majorEastAsia" w:eastAsiaTheme="majorEastAsia" w:hAnsiTheme="majorEastAsia"/>
          <w:sz w:val="21"/>
          <w:szCs w:val="21"/>
        </w:rPr>
      </w:pP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811978" w:rsidRDefault="00D1767B" w:rsidP="00D1767B">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（２）徴収猶予</w:t>
      </w:r>
    </w:p>
    <w:p w:rsidR="00D1767B" w:rsidRPr="00D03BA4" w:rsidRDefault="00D1767B" w:rsidP="00D1767B">
      <w:pPr>
        <w:ind w:left="420" w:hangingChars="200" w:hanging="420"/>
        <w:rPr>
          <w:sz w:val="21"/>
          <w:szCs w:val="21"/>
        </w:rPr>
      </w:pPr>
      <w:r w:rsidRPr="00D03BA4">
        <w:rPr>
          <w:rFonts w:hint="eastAsia"/>
          <w:sz w:val="21"/>
          <w:szCs w:val="21"/>
        </w:rPr>
        <w:t xml:space="preserve">　　　保険者は、前記（１）の各号のいずれかに該当する世帯であって、必要があると認めるときは、その申請により、６箇月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（３）減免又は徴収猶予の対象となる診療</w:t>
      </w:r>
    </w:p>
    <w:p w:rsidR="00D1767B" w:rsidRPr="00D03BA4" w:rsidRDefault="00D1767B" w:rsidP="00D1767B">
      <w:pPr>
        <w:ind w:left="210" w:hanging="210"/>
        <w:rPr>
          <w:sz w:val="21"/>
          <w:szCs w:val="21"/>
        </w:rPr>
      </w:pPr>
      <w:r w:rsidRPr="00D03BA4">
        <w:rPr>
          <w:rFonts w:hint="eastAsia"/>
          <w:sz w:val="21"/>
          <w:szCs w:val="21"/>
        </w:rPr>
        <w:t xml:space="preserve">　　　入院及び外来</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（４）減免又は徴収猶予の割合</w:t>
      </w:r>
    </w:p>
    <w:p w:rsidR="00D1767B" w:rsidRDefault="00D1767B" w:rsidP="00D1767B">
      <w:pPr>
        <w:ind w:left="210" w:hanging="210"/>
        <w:rPr>
          <w:sz w:val="21"/>
          <w:szCs w:val="21"/>
        </w:rPr>
      </w:pPr>
      <w:r w:rsidRPr="00D03BA4">
        <w:rPr>
          <w:rFonts w:hint="eastAsia"/>
          <w:sz w:val="21"/>
          <w:szCs w:val="21"/>
        </w:rPr>
        <w:t xml:space="preserve">　　　10割</w:t>
      </w:r>
    </w:p>
    <w:p w:rsidR="00CC0273" w:rsidRPr="00764DB2" w:rsidRDefault="00CC0273" w:rsidP="00D1767B">
      <w:pPr>
        <w:ind w:left="99" w:hangingChars="47" w:hanging="99"/>
        <w:rPr>
          <w:rFonts w:asciiTheme="majorEastAsia" w:eastAsiaTheme="majorEastAsia" w:hAnsiTheme="majorEastAsia"/>
          <w:sz w:val="21"/>
          <w:szCs w:val="21"/>
        </w:rPr>
      </w:pPr>
      <w:r w:rsidRPr="00764DB2">
        <w:rPr>
          <w:rFonts w:asciiTheme="majorEastAsia" w:eastAsiaTheme="majorEastAsia" w:hAnsiTheme="majorEastAsia"/>
          <w:sz w:val="21"/>
          <w:szCs w:val="21"/>
        </w:rPr>
        <w:br w:type="page"/>
      </w:r>
    </w:p>
    <w:p w:rsidR="00E33418"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３　</w:t>
      </w:r>
      <w:r w:rsidR="00321804" w:rsidRPr="00F02F0C">
        <w:rPr>
          <w:rFonts w:asciiTheme="majorEastAsia" w:eastAsiaTheme="majorEastAsia" w:hAnsiTheme="majorEastAsia" w:hint="eastAsia"/>
          <w:sz w:val="21"/>
          <w:szCs w:val="21"/>
        </w:rPr>
        <w:t>特定健康診査</w:t>
      </w:r>
    </w:p>
    <w:p w:rsidR="00040552" w:rsidRPr="00811978" w:rsidRDefault="00796EE8" w:rsidP="00F02F0C">
      <w:pPr>
        <w:ind w:left="210" w:hanging="210"/>
        <w:rPr>
          <w:sz w:val="21"/>
          <w:szCs w:val="21"/>
        </w:rPr>
      </w:pPr>
      <w:r w:rsidRPr="00764DB2">
        <w:rPr>
          <w:rFonts w:hint="eastAsia"/>
          <w:sz w:val="21"/>
          <w:szCs w:val="21"/>
        </w:rPr>
        <w:t xml:space="preserve">　</w:t>
      </w:r>
      <w:r w:rsidR="00F02F0C">
        <w:rPr>
          <w:rFonts w:hint="eastAsia"/>
          <w:sz w:val="21"/>
          <w:szCs w:val="21"/>
        </w:rPr>
        <w:t xml:space="preserve">　</w:t>
      </w:r>
      <w:r w:rsidR="00040552" w:rsidRPr="00764DB2">
        <w:rPr>
          <w:rFonts w:hint="eastAsia"/>
          <w:sz w:val="21"/>
          <w:szCs w:val="21"/>
        </w:rPr>
        <w:t>次に掲げる項目</w:t>
      </w:r>
      <w:r w:rsidR="00040552" w:rsidRPr="00811978">
        <w:rPr>
          <w:rFonts w:hint="eastAsia"/>
          <w:sz w:val="21"/>
          <w:szCs w:val="21"/>
        </w:rPr>
        <w:t>について、事業実施による効果が実証され、医療費適正化効果が期待されることから、府内全域で共通して特定健康診査の基本的な項目に加えて実施することとする。</w:t>
      </w:r>
    </w:p>
    <w:p w:rsidR="00040552" w:rsidRPr="00811978" w:rsidRDefault="00796EE8"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①　</w:t>
      </w:r>
      <w:r w:rsidR="00040552" w:rsidRPr="00811978">
        <w:rPr>
          <w:rFonts w:hint="eastAsia"/>
          <w:sz w:val="21"/>
          <w:szCs w:val="21"/>
        </w:rPr>
        <w:t>血清クレアチニン検査</w:t>
      </w:r>
      <w:r w:rsidR="00904C24" w:rsidRPr="00811978">
        <w:rPr>
          <w:rFonts w:hint="eastAsia"/>
          <w:sz w:val="21"/>
          <w:szCs w:val="21"/>
        </w:rPr>
        <w:t>（ｅＧＦＲ）</w:t>
      </w:r>
    </w:p>
    <w:p w:rsidR="00551792" w:rsidRPr="00811978" w:rsidRDefault="00551792" w:rsidP="00551792">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血清尿酸</w:t>
      </w:r>
      <w:r w:rsidR="00904C24" w:rsidRPr="00811978">
        <w:rPr>
          <w:rFonts w:hint="eastAsia"/>
          <w:sz w:val="21"/>
          <w:szCs w:val="21"/>
        </w:rPr>
        <w:t>検査</w:t>
      </w:r>
    </w:p>
    <w:p w:rsidR="00321804" w:rsidRPr="00811978" w:rsidRDefault="00B26444"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③　</w:t>
      </w:r>
      <w:r w:rsidR="00040552" w:rsidRPr="00811978">
        <w:rPr>
          <w:rFonts w:hint="eastAsia"/>
          <w:sz w:val="21"/>
          <w:szCs w:val="21"/>
        </w:rPr>
        <w:t>血糖検査（ＨｂＡ１ｃ）</w:t>
      </w:r>
    </w:p>
    <w:p w:rsidR="00321804" w:rsidRPr="00811978" w:rsidRDefault="00321804" w:rsidP="00471B56">
      <w:pPr>
        <w:ind w:left="210" w:hanging="210"/>
        <w:rPr>
          <w:sz w:val="21"/>
          <w:szCs w:val="21"/>
        </w:rPr>
      </w:pPr>
    </w:p>
    <w:p w:rsidR="00441CB8" w:rsidRPr="00811978" w:rsidRDefault="00441CB8" w:rsidP="00471B56">
      <w:pPr>
        <w:ind w:left="210" w:hanging="210"/>
        <w:rPr>
          <w:sz w:val="21"/>
          <w:szCs w:val="21"/>
        </w:rPr>
      </w:pPr>
    </w:p>
    <w:p w:rsidR="00796EE8" w:rsidRPr="00F02F0C"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４　</w:t>
      </w:r>
      <w:r w:rsidR="00796EE8" w:rsidRPr="00F02F0C">
        <w:rPr>
          <w:rFonts w:asciiTheme="majorEastAsia" w:eastAsiaTheme="majorEastAsia" w:hAnsiTheme="majorEastAsia" w:hint="eastAsia"/>
          <w:sz w:val="21"/>
          <w:szCs w:val="21"/>
        </w:rPr>
        <w:t>人間ドック</w:t>
      </w:r>
    </w:p>
    <w:p w:rsidR="002F1646" w:rsidRPr="00811978" w:rsidRDefault="00796EE8"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497693" w:rsidRPr="00811978">
        <w:rPr>
          <w:rFonts w:hint="eastAsia"/>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rsidR="00441CB8" w:rsidRPr="00811978" w:rsidRDefault="00441CB8" w:rsidP="00471B56">
      <w:pPr>
        <w:ind w:left="210" w:hanging="210"/>
        <w:rPr>
          <w:sz w:val="21"/>
          <w:szCs w:val="21"/>
        </w:rPr>
      </w:pPr>
    </w:p>
    <w:p w:rsidR="00050057" w:rsidRPr="00811978" w:rsidRDefault="00050057" w:rsidP="00471B56">
      <w:pPr>
        <w:ind w:left="210" w:hanging="210"/>
        <w:rPr>
          <w:sz w:val="21"/>
          <w:szCs w:val="21"/>
        </w:rPr>
      </w:pPr>
    </w:p>
    <w:p w:rsidR="00321804" w:rsidRPr="00F02F0C" w:rsidRDefault="00F02F0C" w:rsidP="0032180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５　</w:t>
      </w:r>
      <w:r w:rsidR="00321804" w:rsidRPr="00F02F0C">
        <w:rPr>
          <w:rFonts w:asciiTheme="majorEastAsia" w:eastAsiaTheme="majorEastAsia" w:hAnsiTheme="majorEastAsia" w:hint="eastAsia"/>
          <w:sz w:val="21"/>
          <w:szCs w:val="21"/>
        </w:rPr>
        <w:t>医療費通知及び後発医薬品差額通知</w:t>
      </w:r>
    </w:p>
    <w:p w:rsidR="00040552" w:rsidRPr="00811978" w:rsidRDefault="00040552"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2F1646" w:rsidRPr="00811978">
        <w:rPr>
          <w:rFonts w:hint="eastAsia"/>
          <w:sz w:val="21"/>
          <w:szCs w:val="21"/>
        </w:rPr>
        <w:t>医療費通知及び後発医薬品差額通知について、被保険者に対する分かりやすさの向上の観点から、次のとおり共通基準を設定することとする。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040552"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（１）</w:t>
      </w:r>
      <w:r w:rsidR="002F1646" w:rsidRPr="00EE2531">
        <w:rPr>
          <w:rFonts w:asciiTheme="majorEastAsia" w:eastAsiaTheme="majorEastAsia" w:hAnsiTheme="majorEastAsia" w:hint="eastAsia"/>
          <w:sz w:val="21"/>
          <w:szCs w:val="21"/>
        </w:rPr>
        <w:t>実施回数</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全ての月、全被保険者を対象として、年６回（奇数月）に実施。</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年３回実施（ただし、市町村が独自で回数を追加することも可能）。</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4F20E5"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（２）</w:t>
      </w:r>
      <w:r w:rsidR="004F20E5" w:rsidRPr="00EE2531">
        <w:rPr>
          <w:rFonts w:asciiTheme="majorEastAsia" w:eastAsiaTheme="majorEastAsia" w:hAnsiTheme="majorEastAsia" w:hint="eastAsia"/>
          <w:sz w:val="21"/>
          <w:szCs w:val="21"/>
        </w:rPr>
        <w:t>記載項目</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001B5876">
        <w:rPr>
          <w:rFonts w:hint="eastAsia"/>
          <w:sz w:val="21"/>
          <w:szCs w:val="21"/>
        </w:rPr>
        <w:t xml:space="preserve">　　</w:t>
      </w:r>
      <w:r w:rsidRPr="00811978">
        <w:rPr>
          <w:rFonts w:hint="eastAsia"/>
          <w:sz w:val="21"/>
          <w:szCs w:val="21"/>
        </w:rPr>
        <w:t>国民健康保険法施行規則第</w:t>
      </w:r>
      <w:r w:rsidRPr="00811978">
        <w:rPr>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2F1646" w:rsidRPr="00EE2531" w:rsidRDefault="002F1646"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（３）通知の規格</w:t>
      </w:r>
    </w:p>
    <w:p w:rsidR="00EE2531"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原則、Ａ４サイズ（圧着）とする。ただし、共同処理を行わない場合は、異なる規格とすることも可能とする。</w:t>
      </w:r>
    </w:p>
    <w:p w:rsidR="00EE2531" w:rsidRDefault="00EE2531" w:rsidP="00EE2531">
      <w:pPr>
        <w:ind w:left="630" w:hangingChars="300" w:hanging="630"/>
        <w:rPr>
          <w:sz w:val="21"/>
          <w:szCs w:val="21"/>
        </w:rPr>
      </w:pPr>
    </w:p>
    <w:p w:rsidR="00357B64" w:rsidRPr="00811978" w:rsidRDefault="00357B64" w:rsidP="00EE2531">
      <w:pPr>
        <w:ind w:left="99" w:hangingChars="47" w:hanging="99"/>
        <w:rPr>
          <w:sz w:val="21"/>
          <w:szCs w:val="21"/>
        </w:rPr>
      </w:pPr>
      <w:r w:rsidRPr="00811978">
        <w:rPr>
          <w:sz w:val="21"/>
          <w:szCs w:val="21"/>
        </w:rPr>
        <w:br w:type="page"/>
      </w:r>
    </w:p>
    <w:p w:rsidR="00357B64" w:rsidRPr="00F02F0C" w:rsidRDefault="00F02F0C" w:rsidP="00357B6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６　</w:t>
      </w:r>
      <w:r w:rsidR="00357B64" w:rsidRPr="00F02F0C">
        <w:rPr>
          <w:rFonts w:asciiTheme="majorEastAsia" w:eastAsiaTheme="majorEastAsia" w:hAnsiTheme="majorEastAsia" w:hint="eastAsia"/>
          <w:sz w:val="21"/>
          <w:szCs w:val="21"/>
        </w:rPr>
        <w:t>被保険者証（通常証）</w:t>
      </w:r>
    </w:p>
    <w:p w:rsidR="00357B64" w:rsidRDefault="00357B64"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被保険者証（通常証）について、被保険者及び</w:t>
      </w:r>
      <w:r w:rsidR="001F3F96">
        <w:rPr>
          <w:rFonts w:hint="eastAsia"/>
          <w:sz w:val="21"/>
          <w:szCs w:val="21"/>
        </w:rPr>
        <w:t>保険</w:t>
      </w:r>
      <w:r w:rsidRPr="00811978">
        <w:rPr>
          <w:rFonts w:hint="eastAsia"/>
          <w:sz w:val="21"/>
          <w:szCs w:val="21"/>
        </w:rPr>
        <w:t>医療機関</w:t>
      </w:r>
      <w:r w:rsidR="001F3F96">
        <w:rPr>
          <w:rFonts w:hint="eastAsia"/>
          <w:sz w:val="21"/>
          <w:szCs w:val="21"/>
        </w:rPr>
        <w:t>等</w:t>
      </w:r>
      <w:r w:rsidRPr="00811978">
        <w:rPr>
          <w:rFonts w:hint="eastAsia"/>
          <w:sz w:val="21"/>
          <w:szCs w:val="21"/>
        </w:rPr>
        <w:t>に対する分かりやすさの向上の観点から、次のとおり統一基準を設定することとする。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357B64" w:rsidRPr="00811978" w:rsidRDefault="00357B64" w:rsidP="00EE2531">
      <w:pPr>
        <w:ind w:leftChars="7" w:left="117"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（１）様式</w:t>
      </w:r>
    </w:p>
    <w:p w:rsidR="00357B64" w:rsidRPr="00811978" w:rsidRDefault="00F02F0C" w:rsidP="00357B64">
      <w:pPr>
        <w:ind w:left="210" w:hanging="210"/>
        <w:rPr>
          <w:sz w:val="21"/>
          <w:szCs w:val="21"/>
        </w:rPr>
      </w:pPr>
      <w:r w:rsidRPr="00811978">
        <w:rPr>
          <w:rFonts w:hint="eastAsia"/>
          <w:noProof/>
          <w:sz w:val="21"/>
          <w:szCs w:val="21"/>
        </w:rPr>
        <w:drawing>
          <wp:anchor distT="0" distB="0" distL="114300" distR="114300" simplePos="0" relativeHeight="251663360" behindDoc="1" locked="0" layoutInCell="1" allowOverlap="1" wp14:anchorId="0B197ED0" wp14:editId="6C22B525">
            <wp:simplePos x="0" y="0"/>
            <wp:positionH relativeFrom="column">
              <wp:posOffset>184785</wp:posOffset>
            </wp:positionH>
            <wp:positionV relativeFrom="paragraph">
              <wp:posOffset>229235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noProof/>
          <w:sz w:val="21"/>
          <w:szCs w:val="21"/>
        </w:rPr>
        <w:drawing>
          <wp:anchor distT="0" distB="0" distL="114300" distR="114300" simplePos="0" relativeHeight="251661312" behindDoc="1" locked="0" layoutInCell="1" allowOverlap="1" wp14:anchorId="6356D4A7" wp14:editId="1528E75B">
            <wp:simplePos x="0" y="0"/>
            <wp:positionH relativeFrom="column">
              <wp:posOffset>3347085</wp:posOffset>
            </wp:positionH>
            <wp:positionV relativeFrom="paragraph">
              <wp:posOffset>210185</wp:posOffset>
            </wp:positionV>
            <wp:extent cx="2819400" cy="1828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64" w:rsidRPr="00811978">
        <w:rPr>
          <w:rFonts w:hint="eastAsia"/>
          <w:sz w:val="21"/>
          <w:szCs w:val="21"/>
        </w:rPr>
        <w:t xml:space="preserve">　</w:t>
      </w:r>
      <w:r>
        <w:rPr>
          <w:rFonts w:hint="eastAsia"/>
          <w:sz w:val="21"/>
          <w:szCs w:val="21"/>
        </w:rPr>
        <w:t xml:space="preserve">　</w:t>
      </w:r>
      <w:r w:rsidR="00357B64" w:rsidRPr="00811978">
        <w:rPr>
          <w:rFonts w:hint="eastAsia"/>
          <w:sz w:val="21"/>
          <w:szCs w:val="21"/>
        </w:rPr>
        <w:t xml:space="preserve">　一般被保険者証（表面）　　　　　　　　　　　　　退職被保険者証（表面）</w:t>
      </w:r>
    </w:p>
    <w:p w:rsidR="00357B64" w:rsidRPr="00D21257" w:rsidRDefault="00593F8F" w:rsidP="00357B64">
      <w:pPr>
        <w:ind w:left="240" w:hanging="240"/>
        <w:rPr>
          <w:color w:val="FF0000"/>
          <w:sz w:val="21"/>
          <w:szCs w:val="21"/>
        </w:rPr>
      </w:pPr>
      <w:r>
        <w:rPr>
          <w:noProof/>
        </w:rPr>
        <w:drawing>
          <wp:anchor distT="0" distB="0" distL="114300" distR="114300" simplePos="0" relativeHeight="251678720" behindDoc="0" locked="0" layoutInCell="1" allowOverlap="1" wp14:anchorId="7549CE05" wp14:editId="2B718529">
            <wp:simplePos x="0" y="0"/>
            <wp:positionH relativeFrom="column">
              <wp:posOffset>4962525</wp:posOffset>
            </wp:positionH>
            <wp:positionV relativeFrom="paragraph">
              <wp:posOffset>40640</wp:posOffset>
            </wp:positionV>
            <wp:extent cx="1114425" cy="177834"/>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34"/>
                    </a:xfrm>
                    <a:prstGeom prst="rect">
                      <a:avLst/>
                    </a:prstGeom>
                  </pic:spPr>
                </pic:pic>
              </a:graphicData>
            </a:graphic>
            <wp14:sizeRelH relativeFrom="page">
              <wp14:pctWidth>0</wp14:pctWidth>
            </wp14:sizeRelH>
            <wp14:sizeRelV relativeFrom="page">
              <wp14:pctHeight>0</wp14:pctHeight>
            </wp14:sizeRelV>
          </wp:anchor>
        </w:drawing>
      </w:r>
      <w:r w:rsidR="00794A31">
        <w:rPr>
          <w:noProof/>
        </w:rPr>
        <w:drawing>
          <wp:anchor distT="0" distB="0" distL="114300" distR="114300" simplePos="0" relativeHeight="251672576" behindDoc="0" locked="0" layoutInCell="1" allowOverlap="1" wp14:anchorId="26DFDE75" wp14:editId="7565FF80">
            <wp:simplePos x="0" y="0"/>
            <wp:positionH relativeFrom="column">
              <wp:posOffset>1756410</wp:posOffset>
            </wp:positionH>
            <wp:positionV relativeFrom="paragraph">
              <wp:posOffset>55245</wp:posOffset>
            </wp:positionV>
            <wp:extent cx="1114425" cy="17783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34"/>
                    </a:xfrm>
                    <a:prstGeom prst="rect">
                      <a:avLst/>
                    </a:prstGeom>
                  </pic:spPr>
                </pic:pic>
              </a:graphicData>
            </a:graphic>
            <wp14:sizeRelH relativeFrom="page">
              <wp14:pctWidth>0</wp14:pctWidth>
            </wp14:sizeRelH>
            <wp14:sizeRelV relativeFrom="page">
              <wp14:pctHeight>0</wp14:pctHeight>
            </wp14:sizeRelV>
          </wp:anchor>
        </w:drawing>
      </w:r>
    </w:p>
    <w:p w:rsidR="00357B64" w:rsidRPr="00D21257" w:rsidRDefault="00D81BEC" w:rsidP="00357B64">
      <w:pPr>
        <w:ind w:left="240" w:hanging="240"/>
        <w:rPr>
          <w:color w:val="FF0000"/>
          <w:sz w:val="21"/>
          <w:szCs w:val="21"/>
        </w:rPr>
      </w:pPr>
      <w:r>
        <w:rPr>
          <w:noProof/>
        </w:rPr>
        <w:drawing>
          <wp:anchor distT="0" distB="0" distL="114300" distR="114300" simplePos="0" relativeHeight="251670528" behindDoc="0" locked="0" layoutInCell="1" allowOverlap="1" wp14:anchorId="66C2C3E6" wp14:editId="58E23E59">
            <wp:simplePos x="0" y="0"/>
            <wp:positionH relativeFrom="column">
              <wp:posOffset>4238625</wp:posOffset>
            </wp:positionH>
            <wp:positionV relativeFrom="paragraph">
              <wp:posOffset>73660</wp:posOffset>
            </wp:positionV>
            <wp:extent cx="1838325" cy="161954"/>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5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6426DBB" wp14:editId="5D78569B">
            <wp:simplePos x="0" y="0"/>
            <wp:positionH relativeFrom="column">
              <wp:posOffset>1089993</wp:posOffset>
            </wp:positionH>
            <wp:positionV relativeFrom="paragraph">
              <wp:posOffset>73025</wp:posOffset>
            </wp:positionV>
            <wp:extent cx="1838325" cy="161954"/>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54"/>
                    </a:xfrm>
                    <a:prstGeom prst="rect">
                      <a:avLst/>
                    </a:prstGeom>
                  </pic:spPr>
                </pic:pic>
              </a:graphicData>
            </a:graphic>
            <wp14:sizeRelH relativeFrom="page">
              <wp14:pctWidth>0</wp14:pctWidth>
            </wp14:sizeRelH>
            <wp14:sizeRelV relativeFrom="page">
              <wp14:pctHeight>0</wp14:pctHeight>
            </wp14:sizeRelV>
          </wp:anchor>
        </w:drawing>
      </w:r>
    </w:p>
    <w:p w:rsidR="00357B64" w:rsidRPr="00D21257" w:rsidRDefault="00357B64" w:rsidP="00357B64">
      <w:pPr>
        <w:ind w:left="210" w:hanging="210"/>
        <w:rPr>
          <w:color w:val="FF0000"/>
          <w:sz w:val="21"/>
          <w:szCs w:val="21"/>
        </w:rPr>
      </w:pPr>
    </w:p>
    <w:p w:rsidR="00357B64" w:rsidRPr="00D21257" w:rsidRDefault="00593F8F" w:rsidP="00357B64">
      <w:pPr>
        <w:ind w:left="240" w:hanging="240"/>
        <w:rPr>
          <w:color w:val="FF0000"/>
          <w:sz w:val="21"/>
          <w:szCs w:val="21"/>
        </w:rPr>
      </w:pPr>
      <w:r>
        <w:rPr>
          <w:noProof/>
        </w:rPr>
        <w:drawing>
          <wp:anchor distT="0" distB="0" distL="114300" distR="114300" simplePos="0" relativeHeight="251680768" behindDoc="0" locked="0" layoutInCell="1" allowOverlap="1" wp14:anchorId="38E24C87" wp14:editId="5C9EB11B">
            <wp:simplePos x="0" y="0"/>
            <wp:positionH relativeFrom="column">
              <wp:posOffset>4333875</wp:posOffset>
            </wp:positionH>
            <wp:positionV relativeFrom="paragraph">
              <wp:posOffset>203200</wp:posOffset>
            </wp:positionV>
            <wp:extent cx="923925" cy="136525"/>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38E24C87" wp14:editId="5C9EB11B">
            <wp:simplePos x="0" y="0"/>
            <wp:positionH relativeFrom="column">
              <wp:posOffset>4337685</wp:posOffset>
            </wp:positionH>
            <wp:positionV relativeFrom="paragraph">
              <wp:posOffset>66040</wp:posOffset>
            </wp:positionV>
            <wp:extent cx="923925" cy="136525"/>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4D2B5F8B" wp14:editId="13FD2FC4">
            <wp:simplePos x="0" y="0"/>
            <wp:positionH relativeFrom="column">
              <wp:posOffset>1175385</wp:posOffset>
            </wp:positionH>
            <wp:positionV relativeFrom="paragraph">
              <wp:posOffset>218440</wp:posOffset>
            </wp:positionV>
            <wp:extent cx="923925" cy="136878"/>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878"/>
                    </a:xfrm>
                    <a:prstGeom prst="rect">
                      <a:avLst/>
                    </a:prstGeom>
                  </pic:spPr>
                </pic:pic>
              </a:graphicData>
            </a:graphic>
            <wp14:sizeRelH relativeFrom="page">
              <wp14:pctWidth>0</wp14:pctWidth>
            </wp14:sizeRelH>
            <wp14:sizeRelV relativeFrom="page">
              <wp14:pctHeight>0</wp14:pctHeight>
            </wp14:sizeRelV>
          </wp:anchor>
        </w:drawing>
      </w:r>
      <w:r w:rsidR="00794A31">
        <w:rPr>
          <w:noProof/>
        </w:rPr>
        <w:drawing>
          <wp:anchor distT="0" distB="0" distL="114300" distR="114300" simplePos="0" relativeHeight="251674624" behindDoc="0" locked="0" layoutInCell="1" allowOverlap="1" wp14:anchorId="60002A8D" wp14:editId="016D5BB6">
            <wp:simplePos x="0" y="0"/>
            <wp:positionH relativeFrom="column">
              <wp:posOffset>1175385</wp:posOffset>
            </wp:positionH>
            <wp:positionV relativeFrom="paragraph">
              <wp:posOffset>85090</wp:posOffset>
            </wp:positionV>
            <wp:extent cx="923925" cy="136878"/>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878"/>
                    </a:xfrm>
                    <a:prstGeom prst="rect">
                      <a:avLst/>
                    </a:prstGeom>
                  </pic:spPr>
                </pic:pic>
              </a:graphicData>
            </a:graphic>
            <wp14:sizeRelH relativeFrom="page">
              <wp14:pctWidth>0</wp14:pctWidth>
            </wp14:sizeRelH>
            <wp14:sizeRelV relativeFrom="page">
              <wp14:pctHeight>0</wp14:pctHeight>
            </wp14:sizeRelV>
          </wp:anchor>
        </w:drawing>
      </w: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6511F3" w:rsidRDefault="00357B64" w:rsidP="00357B64">
      <w:pPr>
        <w:ind w:left="210" w:hanging="210"/>
        <w:rPr>
          <w:color w:val="FF0000"/>
          <w:sz w:val="21"/>
          <w:szCs w:val="21"/>
        </w:rPr>
      </w:pPr>
    </w:p>
    <w:p w:rsidR="00755A86" w:rsidRPr="00811978" w:rsidRDefault="00052C2E" w:rsidP="00755A86">
      <w:pPr>
        <w:ind w:left="241" w:hanging="241"/>
        <w:rPr>
          <w:sz w:val="21"/>
          <w:szCs w:val="21"/>
        </w:rPr>
      </w:pPr>
      <w:r w:rsidRPr="007B1182">
        <w:rPr>
          <w:rFonts w:ascii="ＭＳ ゴシック" w:eastAsia="ＭＳ ゴシック" w:cs="Times New Roman"/>
          <w:b/>
          <w:noProof/>
          <w:szCs w:val="21"/>
        </w:rPr>
        <w:drawing>
          <wp:anchor distT="0" distB="0" distL="114300" distR="114300" simplePos="0" relativeHeight="251685888" behindDoc="0" locked="0" layoutInCell="1" allowOverlap="1" wp14:anchorId="2A363312" wp14:editId="7C5215FF">
            <wp:simplePos x="0" y="0"/>
            <wp:positionH relativeFrom="column">
              <wp:posOffset>232410</wp:posOffset>
            </wp:positionH>
            <wp:positionV relativeFrom="paragraph">
              <wp:posOffset>215265</wp:posOffset>
            </wp:positionV>
            <wp:extent cx="2809875" cy="1819414"/>
            <wp:effectExtent l="0" t="0" r="0" b="9525"/>
            <wp:wrapNone/>
            <wp:docPr id="7" name="図 7" descr="D:\kakihanah\Desktop\（作業用）運営方針\第55回WG資料作成（作業用）\被保証（裏面）加工済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kihanah\Desktop\（作業用）運営方針\第55回WG資料作成（作業用）\被保証（裏面）加工済み.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875" cy="1819414"/>
                    </a:xfrm>
                    <a:prstGeom prst="rect">
                      <a:avLst/>
                    </a:prstGeom>
                    <a:noFill/>
                    <a:ln>
                      <a:noFill/>
                    </a:ln>
                  </pic:spPr>
                </pic:pic>
              </a:graphicData>
            </a:graphic>
            <wp14:sizeRelH relativeFrom="page">
              <wp14:pctWidth>0</wp14:pctWidth>
            </wp14:sizeRelH>
            <wp14:sizeRelV relativeFrom="page">
              <wp14:pctHeight>0</wp14:pctHeight>
            </wp14:sizeRelV>
          </wp:anchor>
        </w:drawing>
      </w:r>
      <w:r w:rsidR="00755A86" w:rsidRPr="00811978">
        <w:rPr>
          <w:rFonts w:hint="eastAsia"/>
          <w:sz w:val="21"/>
          <w:szCs w:val="21"/>
        </w:rPr>
        <w:t xml:space="preserve">　</w:t>
      </w:r>
      <w:r w:rsidR="00F02F0C">
        <w:rPr>
          <w:rFonts w:hint="eastAsia"/>
          <w:sz w:val="21"/>
          <w:szCs w:val="21"/>
        </w:rPr>
        <w:t xml:space="preserve">　</w:t>
      </w:r>
      <w:r w:rsidR="00755A86" w:rsidRPr="00811978">
        <w:rPr>
          <w:rFonts w:hint="eastAsia"/>
          <w:sz w:val="21"/>
          <w:szCs w:val="21"/>
        </w:rPr>
        <w:t xml:space="preserve">　裏面</w:t>
      </w: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spacing w:line="240" w:lineRule="exact"/>
        <w:ind w:left="210" w:hanging="210"/>
        <w:rPr>
          <w:sz w:val="21"/>
          <w:szCs w:val="21"/>
        </w:rPr>
      </w:pPr>
    </w:p>
    <w:p w:rsidR="00755A86" w:rsidRPr="00811978" w:rsidRDefault="00755A86" w:rsidP="00F02F0C">
      <w:pPr>
        <w:ind w:leftChars="100" w:left="240" w:firstLineChars="100" w:firstLine="210"/>
        <w:rPr>
          <w:sz w:val="21"/>
          <w:szCs w:val="21"/>
        </w:rPr>
      </w:pPr>
      <w:r w:rsidRPr="00811978">
        <w:rPr>
          <w:rFonts w:hint="eastAsia"/>
          <w:sz w:val="21"/>
          <w:szCs w:val="21"/>
        </w:rPr>
        <w:t>※ふりがなについては、各市町村において、任意で追加可能とする。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被保険者証の一斉更新時には、交付年月日前有効の文言を記載する。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99" w:hangingChars="47" w:hanging="99"/>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（２）更新時期</w:t>
      </w:r>
    </w:p>
    <w:p w:rsidR="00755A86" w:rsidRPr="00811978" w:rsidRDefault="00755A86" w:rsidP="00755A86">
      <w:pPr>
        <w:ind w:left="630" w:hangingChars="300" w:hanging="630"/>
        <w:rPr>
          <w:sz w:val="21"/>
          <w:szCs w:val="21"/>
        </w:rPr>
      </w:pPr>
      <w:r w:rsidRPr="00811978">
        <w:rPr>
          <w:rFonts w:hint="eastAsia"/>
          <w:sz w:val="21"/>
          <w:szCs w:val="21"/>
        </w:rPr>
        <w:t xml:space="preserve">　　　11月１日更新</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（３）有効期間</w:t>
      </w:r>
    </w:p>
    <w:p w:rsidR="00755A86" w:rsidRPr="00811978" w:rsidRDefault="00755A86" w:rsidP="00755A86">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１年間（11月１日から翌年10月31日まで）</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（４）その他</w:t>
      </w:r>
    </w:p>
    <w:p w:rsidR="00755A86" w:rsidRPr="00811978" w:rsidRDefault="00755A86" w:rsidP="00755A86">
      <w:pPr>
        <w:ind w:left="210" w:hanging="210"/>
        <w:rPr>
          <w:sz w:val="21"/>
          <w:szCs w:val="21"/>
        </w:rPr>
      </w:pPr>
      <w:r w:rsidRPr="00811978">
        <w:rPr>
          <w:rFonts w:hint="eastAsia"/>
          <w:sz w:val="21"/>
          <w:szCs w:val="21"/>
        </w:rPr>
        <w:t xml:space="preserve">　　①　被保険者証の色</w:t>
      </w:r>
    </w:p>
    <w:p w:rsidR="00755A86" w:rsidRPr="00811978" w:rsidRDefault="00755A8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大阪府後期高齢者医療被保険者証と色（暖色・寒色）が重複しないように、毎年、大阪府後期高齢者医療広域連合に確認しながら、大阪府において決定する。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材質</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上質紙（135kg）</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③　公印の色</w:t>
      </w:r>
    </w:p>
    <w:p w:rsidR="00357B64"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朱色</w:t>
      </w:r>
    </w:p>
    <w:sectPr w:rsidR="00357B64" w:rsidRPr="00811978" w:rsidSect="00216571">
      <w:headerReference w:type="even" r:id="rId14"/>
      <w:headerReference w:type="default" r:id="rId15"/>
      <w:footerReference w:type="even" r:id="rId16"/>
      <w:footerReference w:type="default" r:id="rId17"/>
      <w:headerReference w:type="first" r:id="rId18"/>
      <w:footerReference w:type="first" r:id="rId19"/>
      <w:pgSz w:w="11906" w:h="16838" w:code="9"/>
      <w:pgMar w:top="851" w:right="1133" w:bottom="709" w:left="1134" w:header="851" w:footer="57"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87" w:rsidRDefault="00975087" w:rsidP="00EE4D79">
      <w:pPr>
        <w:ind w:left="240" w:hanging="240"/>
      </w:pPr>
      <w:r>
        <w:separator/>
      </w:r>
    </w:p>
  </w:endnote>
  <w:endnote w:type="continuationSeparator" w:id="0">
    <w:p w:rsidR="00975087" w:rsidRDefault="00975087"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1966"/>
      <w:docPartObj>
        <w:docPartGallery w:val="Page Numbers (Bottom of Page)"/>
        <w:docPartUnique/>
      </w:docPartObj>
    </w:sdtPr>
    <w:sdtEndPr>
      <w:rPr>
        <w:rFonts w:asciiTheme="majorEastAsia" w:eastAsiaTheme="majorEastAsia" w:hAnsiTheme="majorEastAsia"/>
        <w:sz w:val="21"/>
      </w:rPr>
    </w:sdtEndPr>
    <w:sdtContent>
      <w:p w:rsidR="00216571" w:rsidRPr="00216571" w:rsidRDefault="00216571" w:rsidP="00216571">
        <w:pPr>
          <w:pStyle w:val="a5"/>
          <w:ind w:left="240" w:hanging="240"/>
          <w:jc w:val="center"/>
          <w:rPr>
            <w:rFonts w:asciiTheme="majorEastAsia" w:eastAsiaTheme="majorEastAsia" w:hAnsiTheme="majorEastAsia"/>
            <w:sz w:val="21"/>
          </w:rPr>
        </w:pPr>
        <w:r w:rsidRPr="00216571">
          <w:rPr>
            <w:rFonts w:asciiTheme="majorEastAsia" w:eastAsiaTheme="majorEastAsia" w:hAnsiTheme="majorEastAsia"/>
            <w:sz w:val="21"/>
          </w:rPr>
          <w:fldChar w:fldCharType="begin"/>
        </w:r>
        <w:r w:rsidRPr="00216571">
          <w:rPr>
            <w:rFonts w:asciiTheme="majorEastAsia" w:eastAsiaTheme="majorEastAsia" w:hAnsiTheme="majorEastAsia"/>
            <w:sz w:val="21"/>
          </w:rPr>
          <w:instrText>PAGE   \* MERGEFORMAT</w:instrText>
        </w:r>
        <w:r w:rsidRPr="00216571">
          <w:rPr>
            <w:rFonts w:asciiTheme="majorEastAsia" w:eastAsiaTheme="majorEastAsia" w:hAnsiTheme="majorEastAsia"/>
            <w:sz w:val="21"/>
          </w:rPr>
          <w:fldChar w:fldCharType="separate"/>
        </w:r>
        <w:r w:rsidR="0053768C" w:rsidRPr="0053768C">
          <w:rPr>
            <w:rFonts w:asciiTheme="majorEastAsia" w:eastAsiaTheme="majorEastAsia" w:hAnsiTheme="majorEastAsia"/>
            <w:noProof/>
            <w:sz w:val="21"/>
            <w:lang w:val="ja-JP"/>
          </w:rPr>
          <w:t>-</w:t>
        </w:r>
        <w:r w:rsidR="0053768C">
          <w:rPr>
            <w:rFonts w:asciiTheme="majorEastAsia" w:eastAsiaTheme="majorEastAsia" w:hAnsiTheme="majorEastAsia"/>
            <w:noProof/>
            <w:sz w:val="21"/>
          </w:rPr>
          <w:t xml:space="preserve"> 1 -</w:t>
        </w:r>
        <w:r w:rsidRPr="00216571">
          <w:rPr>
            <w:rFonts w:asciiTheme="majorEastAsia" w:eastAsiaTheme="majorEastAsia" w:hAnsiTheme="majorEastAsia"/>
            <w:sz w:val="21"/>
          </w:rPr>
          <w:fldChar w:fldCharType="end"/>
        </w:r>
      </w:p>
    </w:sdtContent>
  </w:sdt>
  <w:p w:rsidR="00E33418" w:rsidRDefault="00E33418"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87" w:rsidRDefault="00975087" w:rsidP="00EE4D79">
      <w:pPr>
        <w:ind w:left="240" w:hanging="240"/>
      </w:pPr>
      <w:r>
        <w:separator/>
      </w:r>
    </w:p>
  </w:footnote>
  <w:footnote w:type="continuationSeparator" w:id="0">
    <w:p w:rsidR="00975087" w:rsidRDefault="00975087"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37"/>
    <w:rsid w:val="00003BAD"/>
    <w:rsid w:val="00005788"/>
    <w:rsid w:val="00006C24"/>
    <w:rsid w:val="000143A6"/>
    <w:rsid w:val="00014E35"/>
    <w:rsid w:val="00021751"/>
    <w:rsid w:val="000231E6"/>
    <w:rsid w:val="0002501A"/>
    <w:rsid w:val="0002773E"/>
    <w:rsid w:val="00027DA4"/>
    <w:rsid w:val="00030410"/>
    <w:rsid w:val="00040552"/>
    <w:rsid w:val="00041E46"/>
    <w:rsid w:val="00043010"/>
    <w:rsid w:val="00043A76"/>
    <w:rsid w:val="000457A2"/>
    <w:rsid w:val="00046F58"/>
    <w:rsid w:val="0004742E"/>
    <w:rsid w:val="00050057"/>
    <w:rsid w:val="00052C2D"/>
    <w:rsid w:val="00052C2E"/>
    <w:rsid w:val="00053562"/>
    <w:rsid w:val="00057511"/>
    <w:rsid w:val="00060288"/>
    <w:rsid w:val="000609B8"/>
    <w:rsid w:val="00061E2D"/>
    <w:rsid w:val="00062687"/>
    <w:rsid w:val="00062F41"/>
    <w:rsid w:val="00067BA4"/>
    <w:rsid w:val="000756A7"/>
    <w:rsid w:val="000756C8"/>
    <w:rsid w:val="00075D5E"/>
    <w:rsid w:val="0007797B"/>
    <w:rsid w:val="00081899"/>
    <w:rsid w:val="0008389F"/>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66B4"/>
    <w:rsid w:val="0013048D"/>
    <w:rsid w:val="00130FC8"/>
    <w:rsid w:val="00133E7F"/>
    <w:rsid w:val="00137FF5"/>
    <w:rsid w:val="001405B4"/>
    <w:rsid w:val="001454DF"/>
    <w:rsid w:val="0014558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CE6"/>
    <w:rsid w:val="001B4978"/>
    <w:rsid w:val="001B5876"/>
    <w:rsid w:val="001C2BFD"/>
    <w:rsid w:val="001C3F13"/>
    <w:rsid w:val="001C3F9F"/>
    <w:rsid w:val="001C6F70"/>
    <w:rsid w:val="001D128D"/>
    <w:rsid w:val="001D46BF"/>
    <w:rsid w:val="001D59B2"/>
    <w:rsid w:val="001D6B86"/>
    <w:rsid w:val="001E09B9"/>
    <w:rsid w:val="001E662A"/>
    <w:rsid w:val="001E6D03"/>
    <w:rsid w:val="001F05A5"/>
    <w:rsid w:val="001F3F96"/>
    <w:rsid w:val="001F761D"/>
    <w:rsid w:val="00202DC8"/>
    <w:rsid w:val="00213920"/>
    <w:rsid w:val="00214A96"/>
    <w:rsid w:val="002162BD"/>
    <w:rsid w:val="00216571"/>
    <w:rsid w:val="00222F94"/>
    <w:rsid w:val="00234E72"/>
    <w:rsid w:val="002354F5"/>
    <w:rsid w:val="002361D9"/>
    <w:rsid w:val="00236E3B"/>
    <w:rsid w:val="002412E7"/>
    <w:rsid w:val="00243B86"/>
    <w:rsid w:val="00244B43"/>
    <w:rsid w:val="002452B0"/>
    <w:rsid w:val="00246FE1"/>
    <w:rsid w:val="00251FB4"/>
    <w:rsid w:val="00257313"/>
    <w:rsid w:val="00260809"/>
    <w:rsid w:val="00260ABF"/>
    <w:rsid w:val="00262296"/>
    <w:rsid w:val="002633A8"/>
    <w:rsid w:val="002646AD"/>
    <w:rsid w:val="0027152E"/>
    <w:rsid w:val="00274DF0"/>
    <w:rsid w:val="00275499"/>
    <w:rsid w:val="00275FE9"/>
    <w:rsid w:val="00286344"/>
    <w:rsid w:val="00291BC6"/>
    <w:rsid w:val="00292C5B"/>
    <w:rsid w:val="0029511F"/>
    <w:rsid w:val="002965A8"/>
    <w:rsid w:val="0029711A"/>
    <w:rsid w:val="002A07CE"/>
    <w:rsid w:val="002A1D8E"/>
    <w:rsid w:val="002B1D09"/>
    <w:rsid w:val="002B3EFB"/>
    <w:rsid w:val="002C0935"/>
    <w:rsid w:val="002D0B35"/>
    <w:rsid w:val="002D32F7"/>
    <w:rsid w:val="002D7CAA"/>
    <w:rsid w:val="002D7DAD"/>
    <w:rsid w:val="002E0C68"/>
    <w:rsid w:val="002E6D3D"/>
    <w:rsid w:val="002E73F0"/>
    <w:rsid w:val="002F1294"/>
    <w:rsid w:val="002F1646"/>
    <w:rsid w:val="002F44E7"/>
    <w:rsid w:val="002F4C7A"/>
    <w:rsid w:val="002F5A23"/>
    <w:rsid w:val="00300397"/>
    <w:rsid w:val="00303770"/>
    <w:rsid w:val="003128FD"/>
    <w:rsid w:val="00313238"/>
    <w:rsid w:val="00321804"/>
    <w:rsid w:val="00321D63"/>
    <w:rsid w:val="003230BD"/>
    <w:rsid w:val="00336CC4"/>
    <w:rsid w:val="0034351C"/>
    <w:rsid w:val="003530FA"/>
    <w:rsid w:val="00357B64"/>
    <w:rsid w:val="00360814"/>
    <w:rsid w:val="00364733"/>
    <w:rsid w:val="00364859"/>
    <w:rsid w:val="00376381"/>
    <w:rsid w:val="00377039"/>
    <w:rsid w:val="003829ED"/>
    <w:rsid w:val="003842DF"/>
    <w:rsid w:val="00387304"/>
    <w:rsid w:val="00390FB4"/>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D55"/>
    <w:rsid w:val="00504EB0"/>
    <w:rsid w:val="005058D9"/>
    <w:rsid w:val="0052198D"/>
    <w:rsid w:val="0052250C"/>
    <w:rsid w:val="00523B63"/>
    <w:rsid w:val="00524D20"/>
    <w:rsid w:val="0053768C"/>
    <w:rsid w:val="0054543B"/>
    <w:rsid w:val="00546DD7"/>
    <w:rsid w:val="00550CB1"/>
    <w:rsid w:val="00551792"/>
    <w:rsid w:val="00551E6B"/>
    <w:rsid w:val="005549E4"/>
    <w:rsid w:val="00566AEF"/>
    <w:rsid w:val="00570EA1"/>
    <w:rsid w:val="00571656"/>
    <w:rsid w:val="00574040"/>
    <w:rsid w:val="005833C7"/>
    <w:rsid w:val="0058371D"/>
    <w:rsid w:val="005842D4"/>
    <w:rsid w:val="00590FF1"/>
    <w:rsid w:val="00593F8F"/>
    <w:rsid w:val="005A3E96"/>
    <w:rsid w:val="005A7F6F"/>
    <w:rsid w:val="005B4721"/>
    <w:rsid w:val="005B7138"/>
    <w:rsid w:val="005B7FCF"/>
    <w:rsid w:val="005C0451"/>
    <w:rsid w:val="005C41A2"/>
    <w:rsid w:val="005C7728"/>
    <w:rsid w:val="005D5B82"/>
    <w:rsid w:val="005F1900"/>
    <w:rsid w:val="005F29D2"/>
    <w:rsid w:val="005F5445"/>
    <w:rsid w:val="005F6CD6"/>
    <w:rsid w:val="005F6FC4"/>
    <w:rsid w:val="00600ABB"/>
    <w:rsid w:val="00601A87"/>
    <w:rsid w:val="0061199E"/>
    <w:rsid w:val="0061391B"/>
    <w:rsid w:val="0062181F"/>
    <w:rsid w:val="00637048"/>
    <w:rsid w:val="006370CE"/>
    <w:rsid w:val="00637E61"/>
    <w:rsid w:val="00644F87"/>
    <w:rsid w:val="006509ED"/>
    <w:rsid w:val="00655692"/>
    <w:rsid w:val="00657209"/>
    <w:rsid w:val="006601B2"/>
    <w:rsid w:val="00660C2F"/>
    <w:rsid w:val="00662525"/>
    <w:rsid w:val="006676B1"/>
    <w:rsid w:val="00674FD1"/>
    <w:rsid w:val="0068096A"/>
    <w:rsid w:val="00682847"/>
    <w:rsid w:val="00684A1C"/>
    <w:rsid w:val="006A041C"/>
    <w:rsid w:val="006A6CF3"/>
    <w:rsid w:val="006B0A62"/>
    <w:rsid w:val="006B2A8C"/>
    <w:rsid w:val="006B6904"/>
    <w:rsid w:val="006B710B"/>
    <w:rsid w:val="006C0E4B"/>
    <w:rsid w:val="006C7DA4"/>
    <w:rsid w:val="006D59BA"/>
    <w:rsid w:val="006D6622"/>
    <w:rsid w:val="006E5A15"/>
    <w:rsid w:val="006F1632"/>
    <w:rsid w:val="006F22E1"/>
    <w:rsid w:val="006F4246"/>
    <w:rsid w:val="006F69E1"/>
    <w:rsid w:val="00700930"/>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76A8"/>
    <w:rsid w:val="00751DCA"/>
    <w:rsid w:val="00754E7E"/>
    <w:rsid w:val="00755A86"/>
    <w:rsid w:val="007561A0"/>
    <w:rsid w:val="007570DE"/>
    <w:rsid w:val="00763B14"/>
    <w:rsid w:val="00764DB2"/>
    <w:rsid w:val="00771A1D"/>
    <w:rsid w:val="00773EE9"/>
    <w:rsid w:val="0078096C"/>
    <w:rsid w:val="00785B81"/>
    <w:rsid w:val="00793C6D"/>
    <w:rsid w:val="00794A31"/>
    <w:rsid w:val="00796EE8"/>
    <w:rsid w:val="00797015"/>
    <w:rsid w:val="00797B18"/>
    <w:rsid w:val="007A1022"/>
    <w:rsid w:val="007A2EDF"/>
    <w:rsid w:val="007A4DAF"/>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17105"/>
    <w:rsid w:val="0082176A"/>
    <w:rsid w:val="00830DBA"/>
    <w:rsid w:val="00837A8D"/>
    <w:rsid w:val="00840A63"/>
    <w:rsid w:val="00842387"/>
    <w:rsid w:val="00844605"/>
    <w:rsid w:val="00854F5E"/>
    <w:rsid w:val="0085621E"/>
    <w:rsid w:val="008665F5"/>
    <w:rsid w:val="00872C15"/>
    <w:rsid w:val="00872D2F"/>
    <w:rsid w:val="0087507F"/>
    <w:rsid w:val="00876443"/>
    <w:rsid w:val="00880E4A"/>
    <w:rsid w:val="00881804"/>
    <w:rsid w:val="0088283E"/>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F4A22"/>
    <w:rsid w:val="008F5140"/>
    <w:rsid w:val="009041D9"/>
    <w:rsid w:val="00904C24"/>
    <w:rsid w:val="00907B12"/>
    <w:rsid w:val="00916DD3"/>
    <w:rsid w:val="009265B2"/>
    <w:rsid w:val="009348B1"/>
    <w:rsid w:val="00934B62"/>
    <w:rsid w:val="0093553E"/>
    <w:rsid w:val="009357E7"/>
    <w:rsid w:val="0094179F"/>
    <w:rsid w:val="0094227C"/>
    <w:rsid w:val="00943200"/>
    <w:rsid w:val="00950388"/>
    <w:rsid w:val="00950983"/>
    <w:rsid w:val="009538BB"/>
    <w:rsid w:val="00955624"/>
    <w:rsid w:val="0095731A"/>
    <w:rsid w:val="00961937"/>
    <w:rsid w:val="00962EBB"/>
    <w:rsid w:val="009663FB"/>
    <w:rsid w:val="00970329"/>
    <w:rsid w:val="00975087"/>
    <w:rsid w:val="0097603F"/>
    <w:rsid w:val="00976BF0"/>
    <w:rsid w:val="00980864"/>
    <w:rsid w:val="009811AF"/>
    <w:rsid w:val="00981EDF"/>
    <w:rsid w:val="00984E25"/>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0C68"/>
    <w:rsid w:val="009F5EBB"/>
    <w:rsid w:val="00A0240B"/>
    <w:rsid w:val="00A02B69"/>
    <w:rsid w:val="00A03CA1"/>
    <w:rsid w:val="00A04F4B"/>
    <w:rsid w:val="00A051B8"/>
    <w:rsid w:val="00A12980"/>
    <w:rsid w:val="00A15210"/>
    <w:rsid w:val="00A21ADF"/>
    <w:rsid w:val="00A249F5"/>
    <w:rsid w:val="00A25C13"/>
    <w:rsid w:val="00A3248A"/>
    <w:rsid w:val="00A372E7"/>
    <w:rsid w:val="00A44FB7"/>
    <w:rsid w:val="00A45CDB"/>
    <w:rsid w:val="00A56C27"/>
    <w:rsid w:val="00A57FD7"/>
    <w:rsid w:val="00A64026"/>
    <w:rsid w:val="00A6424D"/>
    <w:rsid w:val="00A64503"/>
    <w:rsid w:val="00A652CF"/>
    <w:rsid w:val="00A73814"/>
    <w:rsid w:val="00A75BA5"/>
    <w:rsid w:val="00A76D91"/>
    <w:rsid w:val="00A838F1"/>
    <w:rsid w:val="00A9343B"/>
    <w:rsid w:val="00A94434"/>
    <w:rsid w:val="00A9447A"/>
    <w:rsid w:val="00A96182"/>
    <w:rsid w:val="00A971C8"/>
    <w:rsid w:val="00AB1327"/>
    <w:rsid w:val="00AB330A"/>
    <w:rsid w:val="00AB3806"/>
    <w:rsid w:val="00AC0C93"/>
    <w:rsid w:val="00AC27A5"/>
    <w:rsid w:val="00AC4DBF"/>
    <w:rsid w:val="00AC5009"/>
    <w:rsid w:val="00AD46DF"/>
    <w:rsid w:val="00AE41B3"/>
    <w:rsid w:val="00AE6B6F"/>
    <w:rsid w:val="00B062AB"/>
    <w:rsid w:val="00B128BE"/>
    <w:rsid w:val="00B12D2D"/>
    <w:rsid w:val="00B144C9"/>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81CDA"/>
    <w:rsid w:val="00B826F7"/>
    <w:rsid w:val="00B85EBE"/>
    <w:rsid w:val="00B914DA"/>
    <w:rsid w:val="00B92D00"/>
    <w:rsid w:val="00B93DEC"/>
    <w:rsid w:val="00B93EBB"/>
    <w:rsid w:val="00B959AD"/>
    <w:rsid w:val="00B9661A"/>
    <w:rsid w:val="00B9733A"/>
    <w:rsid w:val="00B97410"/>
    <w:rsid w:val="00BA05A7"/>
    <w:rsid w:val="00BA06E1"/>
    <w:rsid w:val="00BA2064"/>
    <w:rsid w:val="00BA22E4"/>
    <w:rsid w:val="00BA4533"/>
    <w:rsid w:val="00BA7394"/>
    <w:rsid w:val="00BB1E78"/>
    <w:rsid w:val="00BB21D1"/>
    <w:rsid w:val="00BC2234"/>
    <w:rsid w:val="00BC3A84"/>
    <w:rsid w:val="00BC770E"/>
    <w:rsid w:val="00BD5C56"/>
    <w:rsid w:val="00BD7F99"/>
    <w:rsid w:val="00BE2DC3"/>
    <w:rsid w:val="00BF1737"/>
    <w:rsid w:val="00BF47B5"/>
    <w:rsid w:val="00BF693C"/>
    <w:rsid w:val="00C069B1"/>
    <w:rsid w:val="00C06D88"/>
    <w:rsid w:val="00C07FA3"/>
    <w:rsid w:val="00C12BF0"/>
    <w:rsid w:val="00C16A46"/>
    <w:rsid w:val="00C17AEB"/>
    <w:rsid w:val="00C25D04"/>
    <w:rsid w:val="00C317F4"/>
    <w:rsid w:val="00C340B6"/>
    <w:rsid w:val="00C4155D"/>
    <w:rsid w:val="00C43D64"/>
    <w:rsid w:val="00C47949"/>
    <w:rsid w:val="00C514EE"/>
    <w:rsid w:val="00C51770"/>
    <w:rsid w:val="00C51F48"/>
    <w:rsid w:val="00C52E51"/>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C60C3"/>
    <w:rsid w:val="00CD4015"/>
    <w:rsid w:val="00CD5CEF"/>
    <w:rsid w:val="00CF200B"/>
    <w:rsid w:val="00CF6A58"/>
    <w:rsid w:val="00D03BA4"/>
    <w:rsid w:val="00D132BD"/>
    <w:rsid w:val="00D16868"/>
    <w:rsid w:val="00D16FA3"/>
    <w:rsid w:val="00D1767B"/>
    <w:rsid w:val="00D2098E"/>
    <w:rsid w:val="00D20EFE"/>
    <w:rsid w:val="00D26B27"/>
    <w:rsid w:val="00D32C40"/>
    <w:rsid w:val="00D41A00"/>
    <w:rsid w:val="00D460E5"/>
    <w:rsid w:val="00D47729"/>
    <w:rsid w:val="00D501F4"/>
    <w:rsid w:val="00D507F0"/>
    <w:rsid w:val="00D51A95"/>
    <w:rsid w:val="00D614E0"/>
    <w:rsid w:val="00D6353D"/>
    <w:rsid w:val="00D63AEB"/>
    <w:rsid w:val="00D644A4"/>
    <w:rsid w:val="00D7089B"/>
    <w:rsid w:val="00D7091B"/>
    <w:rsid w:val="00D72C2D"/>
    <w:rsid w:val="00D81BEC"/>
    <w:rsid w:val="00D81EEF"/>
    <w:rsid w:val="00D85300"/>
    <w:rsid w:val="00DA6344"/>
    <w:rsid w:val="00DB23AF"/>
    <w:rsid w:val="00DB4ED8"/>
    <w:rsid w:val="00DB5179"/>
    <w:rsid w:val="00DC0724"/>
    <w:rsid w:val="00DC2864"/>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D0D"/>
    <w:rsid w:val="00E008C2"/>
    <w:rsid w:val="00E11BA9"/>
    <w:rsid w:val="00E14F95"/>
    <w:rsid w:val="00E206E7"/>
    <w:rsid w:val="00E20EAD"/>
    <w:rsid w:val="00E21F07"/>
    <w:rsid w:val="00E23863"/>
    <w:rsid w:val="00E32BCE"/>
    <w:rsid w:val="00E32CE8"/>
    <w:rsid w:val="00E33418"/>
    <w:rsid w:val="00E338D0"/>
    <w:rsid w:val="00E35B44"/>
    <w:rsid w:val="00E364DD"/>
    <w:rsid w:val="00E40F48"/>
    <w:rsid w:val="00E43838"/>
    <w:rsid w:val="00E512B2"/>
    <w:rsid w:val="00E57853"/>
    <w:rsid w:val="00E60357"/>
    <w:rsid w:val="00E60F3A"/>
    <w:rsid w:val="00E63FE6"/>
    <w:rsid w:val="00E64B95"/>
    <w:rsid w:val="00E678C2"/>
    <w:rsid w:val="00E70189"/>
    <w:rsid w:val="00E72A8B"/>
    <w:rsid w:val="00E75BC2"/>
    <w:rsid w:val="00E7775D"/>
    <w:rsid w:val="00E80E3F"/>
    <w:rsid w:val="00E820B4"/>
    <w:rsid w:val="00E82637"/>
    <w:rsid w:val="00E832B6"/>
    <w:rsid w:val="00E848DB"/>
    <w:rsid w:val="00E85C4A"/>
    <w:rsid w:val="00E8624E"/>
    <w:rsid w:val="00E93271"/>
    <w:rsid w:val="00E935F8"/>
    <w:rsid w:val="00E96CF8"/>
    <w:rsid w:val="00EA3A91"/>
    <w:rsid w:val="00EA490D"/>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531"/>
    <w:rsid w:val="00EE2CEA"/>
    <w:rsid w:val="00EE352D"/>
    <w:rsid w:val="00EE4D79"/>
    <w:rsid w:val="00EE7D39"/>
    <w:rsid w:val="00F02F0C"/>
    <w:rsid w:val="00F037C0"/>
    <w:rsid w:val="00F0668F"/>
    <w:rsid w:val="00F078EA"/>
    <w:rsid w:val="00F137F3"/>
    <w:rsid w:val="00F15BC6"/>
    <w:rsid w:val="00F22F70"/>
    <w:rsid w:val="00F2543A"/>
    <w:rsid w:val="00F424C9"/>
    <w:rsid w:val="00F46A01"/>
    <w:rsid w:val="00F50E7C"/>
    <w:rsid w:val="00F54935"/>
    <w:rsid w:val="00F60D2B"/>
    <w:rsid w:val="00F6426C"/>
    <w:rsid w:val="00F65725"/>
    <w:rsid w:val="00F6627A"/>
    <w:rsid w:val="00F70970"/>
    <w:rsid w:val="00F7182E"/>
    <w:rsid w:val="00F76EEC"/>
    <w:rsid w:val="00F82C37"/>
    <w:rsid w:val="00F82D6C"/>
    <w:rsid w:val="00F84738"/>
    <w:rsid w:val="00F8741D"/>
    <w:rsid w:val="00F914E6"/>
    <w:rsid w:val="00F931FD"/>
    <w:rsid w:val="00F947A4"/>
    <w:rsid w:val="00F94DA9"/>
    <w:rsid w:val="00F97325"/>
    <w:rsid w:val="00FA1854"/>
    <w:rsid w:val="00FA3543"/>
    <w:rsid w:val="00FA4F3E"/>
    <w:rsid w:val="00FA75E6"/>
    <w:rsid w:val="00FB1D2E"/>
    <w:rsid w:val="00FB2EB4"/>
    <w:rsid w:val="00FC4C00"/>
    <w:rsid w:val="00FC5B71"/>
    <w:rsid w:val="00FD47CF"/>
    <w:rsid w:val="00FD6CC0"/>
    <w:rsid w:val="00FD76D2"/>
    <w:rsid w:val="00FD775F"/>
    <w:rsid w:val="00FE296D"/>
    <w:rsid w:val="00FE6E53"/>
    <w:rsid w:val="00FF2C79"/>
    <w:rsid w:val="00FF53C5"/>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9D1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7962">
      <w:bodyDiv w:val="1"/>
      <w:marLeft w:val="0"/>
      <w:marRight w:val="0"/>
      <w:marTop w:val="0"/>
      <w:marBottom w:val="0"/>
      <w:divBdr>
        <w:top w:val="none" w:sz="0" w:space="0" w:color="auto"/>
        <w:left w:val="none" w:sz="0" w:space="0" w:color="auto"/>
        <w:bottom w:val="none" w:sz="0" w:space="0" w:color="auto"/>
        <w:right w:val="none" w:sz="0" w:space="0" w:color="auto"/>
      </w:divBdr>
    </w:div>
    <w:div w:id="247079788">
      <w:bodyDiv w:val="1"/>
      <w:marLeft w:val="0"/>
      <w:marRight w:val="0"/>
      <w:marTop w:val="0"/>
      <w:marBottom w:val="0"/>
      <w:divBdr>
        <w:top w:val="none" w:sz="0" w:space="0" w:color="auto"/>
        <w:left w:val="none" w:sz="0" w:space="0" w:color="auto"/>
        <w:bottom w:val="none" w:sz="0" w:space="0" w:color="auto"/>
        <w:right w:val="none" w:sz="0" w:space="0" w:color="auto"/>
      </w:divBdr>
    </w:div>
    <w:div w:id="663898663">
      <w:bodyDiv w:val="1"/>
      <w:marLeft w:val="0"/>
      <w:marRight w:val="0"/>
      <w:marTop w:val="0"/>
      <w:marBottom w:val="0"/>
      <w:divBdr>
        <w:top w:val="none" w:sz="0" w:space="0" w:color="auto"/>
        <w:left w:val="none" w:sz="0" w:space="0" w:color="auto"/>
        <w:bottom w:val="none" w:sz="0" w:space="0" w:color="auto"/>
        <w:right w:val="none" w:sz="0" w:space="0" w:color="auto"/>
      </w:divBdr>
    </w:div>
    <w:div w:id="733239717">
      <w:bodyDiv w:val="1"/>
      <w:marLeft w:val="0"/>
      <w:marRight w:val="0"/>
      <w:marTop w:val="0"/>
      <w:marBottom w:val="0"/>
      <w:divBdr>
        <w:top w:val="none" w:sz="0" w:space="0" w:color="auto"/>
        <w:left w:val="none" w:sz="0" w:space="0" w:color="auto"/>
        <w:bottom w:val="none" w:sz="0" w:space="0" w:color="auto"/>
        <w:right w:val="none" w:sz="0" w:space="0" w:color="auto"/>
      </w:divBdr>
    </w:div>
    <w:div w:id="740106133">
      <w:bodyDiv w:val="1"/>
      <w:marLeft w:val="0"/>
      <w:marRight w:val="0"/>
      <w:marTop w:val="0"/>
      <w:marBottom w:val="0"/>
      <w:divBdr>
        <w:top w:val="none" w:sz="0" w:space="0" w:color="auto"/>
        <w:left w:val="none" w:sz="0" w:space="0" w:color="auto"/>
        <w:bottom w:val="none" w:sz="0" w:space="0" w:color="auto"/>
        <w:right w:val="none" w:sz="0" w:space="0" w:color="auto"/>
      </w:divBdr>
    </w:div>
    <w:div w:id="902637994">
      <w:bodyDiv w:val="1"/>
      <w:marLeft w:val="0"/>
      <w:marRight w:val="0"/>
      <w:marTop w:val="0"/>
      <w:marBottom w:val="0"/>
      <w:divBdr>
        <w:top w:val="none" w:sz="0" w:space="0" w:color="auto"/>
        <w:left w:val="none" w:sz="0" w:space="0" w:color="auto"/>
        <w:bottom w:val="none" w:sz="0" w:space="0" w:color="auto"/>
        <w:right w:val="none" w:sz="0" w:space="0" w:color="auto"/>
      </w:divBdr>
    </w:div>
    <w:div w:id="1455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41C5D-45C3-4B80-9EA5-4044F521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2021-01-07T07:39:00Z</dcterms:created>
  <dcterms:modified xsi:type="dcterms:W3CDTF">2021-03-24T06:25:00Z</dcterms:modified>
</cp:coreProperties>
</file>