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74" w:rsidRPr="00ED2BC2" w:rsidRDefault="000E1574">
      <w:r>
        <w:rPr>
          <w:rFonts w:hint="eastAsia"/>
          <w:bdr w:val="single" w:sz="4" w:space="0" w:color="auto"/>
        </w:rPr>
        <w:t>１</w:t>
      </w:r>
      <w:r w:rsidRPr="000E1574">
        <w:rPr>
          <w:rFonts w:hint="eastAsia"/>
          <w:bdr w:val="single" w:sz="4" w:space="0" w:color="auto"/>
        </w:rPr>
        <w:t>ページ</w:t>
      </w:r>
      <w:r w:rsidR="00ED2BC2" w:rsidRPr="00ED2BC2">
        <w:rPr>
          <w:rFonts w:hint="eastAsia"/>
        </w:rPr>
        <w:t xml:space="preserve">　表紙</w:t>
      </w:r>
      <w:bookmarkStart w:id="0" w:name="_GoBack"/>
      <w:bookmarkEnd w:id="0"/>
    </w:p>
    <w:p w:rsidR="000E1574" w:rsidRDefault="000E1574" w:rsidP="000E1574">
      <w:pPr>
        <w:ind w:firstLineChars="100" w:firstLine="210"/>
      </w:pPr>
      <w:r w:rsidRPr="000E1574">
        <w:rPr>
          <w:rFonts w:hint="eastAsia"/>
        </w:rPr>
        <w:t>令和</w:t>
      </w:r>
      <w:r w:rsidRPr="000E1574">
        <w:t>2年度実施「ギャンブル等と健康に関する調査」結果概要</w:t>
      </w:r>
    </w:p>
    <w:p w:rsidR="000E1574" w:rsidRPr="000E1574" w:rsidRDefault="000E1574" w:rsidP="000E1574">
      <w:r>
        <w:rPr>
          <w:rFonts w:hint="eastAsia"/>
        </w:rPr>
        <w:t xml:space="preserve">　</w:t>
      </w:r>
      <w:r w:rsidRPr="000E1574">
        <w:rPr>
          <w:rFonts w:hint="eastAsia"/>
        </w:rPr>
        <w:t>令和４年３月</w:t>
      </w:r>
    </w:p>
    <w:p w:rsidR="000E1574" w:rsidRDefault="000E1574" w:rsidP="000E1574">
      <w:pPr>
        <w:ind w:firstLineChars="100" w:firstLine="210"/>
      </w:pPr>
      <w:r w:rsidRPr="000E1574">
        <w:rPr>
          <w:rFonts w:hint="eastAsia"/>
        </w:rPr>
        <w:t>大阪府こころの健康総合センター</w:t>
      </w:r>
    </w:p>
    <w:p w:rsidR="00765B5C" w:rsidRDefault="00765B5C" w:rsidP="000E1574">
      <w:pPr>
        <w:ind w:firstLineChars="100" w:firstLine="210"/>
      </w:pPr>
    </w:p>
    <w:p w:rsidR="000E1574" w:rsidRDefault="00ED2BC2">
      <w:r>
        <w:rPr>
          <w:rFonts w:hint="eastAsia"/>
          <w:bdr w:val="single" w:sz="4" w:space="0" w:color="auto"/>
        </w:rPr>
        <w:t>２</w:t>
      </w:r>
      <w:r w:rsidR="000E1574" w:rsidRPr="000E1574">
        <w:rPr>
          <w:rFonts w:hint="eastAsia"/>
          <w:bdr w:val="single" w:sz="4" w:space="0" w:color="auto"/>
        </w:rPr>
        <w:t>ページ</w:t>
      </w:r>
      <w:r w:rsidR="000E1574">
        <w:rPr>
          <w:rFonts w:hint="eastAsia"/>
        </w:rPr>
        <w:t xml:space="preserve">　</w:t>
      </w:r>
      <w:r w:rsidR="000E1574" w:rsidRPr="000E1574">
        <w:rPr>
          <w:rFonts w:hint="eastAsia"/>
        </w:rPr>
        <w:t>調査の概要</w:t>
      </w:r>
    </w:p>
    <w:p w:rsidR="000E1574" w:rsidRPr="000E1574" w:rsidRDefault="000E1574" w:rsidP="00765B5C">
      <w:pPr>
        <w:ind w:leftChars="103" w:left="1476" w:hangingChars="600" w:hanging="1260"/>
      </w:pPr>
      <w:r>
        <w:rPr>
          <w:rFonts w:hint="eastAsia"/>
        </w:rPr>
        <w:t>○</w:t>
      </w:r>
      <w:r w:rsidRPr="000E1574">
        <w:rPr>
          <w:rFonts w:hint="eastAsia"/>
          <w:bCs/>
        </w:rPr>
        <w:t>調査目的</w:t>
      </w:r>
      <w:r>
        <w:rPr>
          <w:rFonts w:hint="eastAsia"/>
          <w:bCs/>
        </w:rPr>
        <w:t xml:space="preserve">　</w:t>
      </w:r>
      <w:r>
        <w:rPr>
          <w:rFonts w:hint="eastAsia"/>
        </w:rPr>
        <w:t>「</w:t>
      </w:r>
      <w:r w:rsidRPr="000E1574">
        <w:rPr>
          <w:rFonts w:hint="eastAsia"/>
        </w:rPr>
        <w:t>大阪府ギャンブル等依存症対策推進計画」（令和2年3月策定）に基づき</w:t>
      </w:r>
      <w:r>
        <w:rPr>
          <w:rFonts w:hint="eastAsia"/>
        </w:rPr>
        <w:t>、</w:t>
      </w:r>
      <w:r w:rsidRPr="000E1574">
        <w:rPr>
          <w:rFonts w:hint="eastAsia"/>
        </w:rPr>
        <w:t>大阪府におけるギャンブル等依存症に関する実態を把握し、今後の大阪府におけるギャンブル等依存症対策を考えるための資料とすることを目的として、令和2年度に実施。</w:t>
      </w:r>
    </w:p>
    <w:p w:rsidR="000E1574" w:rsidRPr="000E1574" w:rsidRDefault="000E1574" w:rsidP="00765B5C">
      <w:pPr>
        <w:ind w:leftChars="100" w:left="1470" w:hangingChars="600" w:hanging="1260"/>
      </w:pPr>
      <w:r>
        <w:rPr>
          <w:rFonts w:hint="eastAsia"/>
          <w:bCs/>
        </w:rPr>
        <w:t>○</w:t>
      </w:r>
      <w:r w:rsidRPr="000E1574">
        <w:rPr>
          <w:rFonts w:hint="eastAsia"/>
          <w:bCs/>
        </w:rPr>
        <w:t>調査方法</w:t>
      </w:r>
      <w:r w:rsidRPr="000E1574">
        <w:rPr>
          <w:rFonts w:hint="eastAsia"/>
        </w:rPr>
        <w:t xml:space="preserve">　府内72地点の住民基本台帳から無作為に</w:t>
      </w:r>
      <w:r w:rsidRPr="000E1574">
        <w:rPr>
          <w:rFonts w:hint="eastAsia"/>
          <w:u w:val="single"/>
        </w:rPr>
        <w:t>18歳以上の対象者5,000名</w:t>
      </w:r>
      <w:r w:rsidRPr="000E1574">
        <w:rPr>
          <w:rFonts w:hint="eastAsia"/>
        </w:rPr>
        <w:t>を抽出し、郵送にて自記式アンケート調査票を送付。回答した調査票の返送か、Web画　面での回答かのいずれかを対象者が選択。</w:t>
      </w:r>
    </w:p>
    <w:p w:rsidR="000E1574" w:rsidRPr="000E1574" w:rsidRDefault="000E1574" w:rsidP="00765B5C">
      <w:pPr>
        <w:ind w:firstLineChars="100" w:firstLine="210"/>
      </w:pPr>
      <w:r>
        <w:rPr>
          <w:rFonts w:hint="eastAsia"/>
          <w:bCs/>
        </w:rPr>
        <w:t>○</w:t>
      </w:r>
      <w:r w:rsidRPr="000E1574">
        <w:rPr>
          <w:rFonts w:hint="eastAsia"/>
          <w:bCs/>
        </w:rPr>
        <w:t>調査期間</w:t>
      </w:r>
      <w:r w:rsidRPr="000E1574">
        <w:rPr>
          <w:rFonts w:hint="eastAsia"/>
        </w:rPr>
        <w:t xml:space="preserve">　令和3年2月1日～2月28日（調査票の配布・回収時期）</w:t>
      </w:r>
    </w:p>
    <w:p w:rsidR="000E1574" w:rsidRDefault="000E1574" w:rsidP="00765B5C">
      <w:pPr>
        <w:ind w:firstLineChars="100" w:firstLine="210"/>
      </w:pPr>
      <w:r>
        <w:rPr>
          <w:rFonts w:hint="eastAsia"/>
          <w:bCs/>
        </w:rPr>
        <w:t>○</w:t>
      </w:r>
      <w:r w:rsidRPr="000E1574">
        <w:rPr>
          <w:rFonts w:hint="eastAsia"/>
          <w:bCs/>
        </w:rPr>
        <w:t>回答者数</w:t>
      </w:r>
      <w:r w:rsidRPr="000E1574">
        <w:rPr>
          <w:rFonts w:hint="eastAsia"/>
        </w:rPr>
        <w:t xml:space="preserve">　1,583名（回収率31.7％）、有効票は</w:t>
      </w:r>
      <w:r w:rsidRPr="000E1574">
        <w:rPr>
          <w:rFonts w:hint="eastAsia"/>
          <w:b/>
          <w:bCs/>
          <w:u w:val="single"/>
        </w:rPr>
        <w:t>1,552票（</w:t>
      </w:r>
      <w:r w:rsidR="00197CC6">
        <w:rPr>
          <w:rFonts w:hint="eastAsia"/>
          <w:b/>
          <w:bCs/>
          <w:u w:val="single"/>
        </w:rPr>
        <w:t>有効回答</w:t>
      </w:r>
      <w:r w:rsidRPr="000E1574">
        <w:rPr>
          <w:rFonts w:hint="eastAsia"/>
          <w:b/>
          <w:bCs/>
          <w:u w:val="single"/>
        </w:rPr>
        <w:t>率31.0％）</w:t>
      </w:r>
    </w:p>
    <w:p w:rsidR="000E1574" w:rsidRPr="000E1574" w:rsidRDefault="000E1574" w:rsidP="00765B5C">
      <w:pPr>
        <w:ind w:firstLineChars="700" w:firstLine="1470"/>
      </w:pPr>
      <w:r w:rsidRPr="000E1574">
        <w:rPr>
          <w:rFonts w:hint="eastAsia"/>
        </w:rPr>
        <w:t>（回答方法）郵送回答1,100票・Web回答452票</w:t>
      </w:r>
    </w:p>
    <w:p w:rsidR="000E1574" w:rsidRPr="000E1574" w:rsidRDefault="000E1574" w:rsidP="000E1574">
      <w:r w:rsidRPr="000E1574">
        <w:rPr>
          <w:rFonts w:hint="eastAsia"/>
        </w:rPr>
        <w:t xml:space="preserve">　</w:t>
      </w:r>
      <w:r>
        <w:rPr>
          <w:rFonts w:hint="eastAsia"/>
        </w:rPr>
        <w:t xml:space="preserve">　　　　　</w:t>
      </w:r>
      <w:r w:rsidR="00765B5C">
        <w:rPr>
          <w:rFonts w:hint="eastAsia"/>
        </w:rPr>
        <w:t xml:space="preserve">　</w:t>
      </w:r>
      <w:r w:rsidRPr="000E1574">
        <w:rPr>
          <w:rFonts w:hint="eastAsia"/>
        </w:rPr>
        <w:t>（性　別）　男性 745名（48.0％）、女性 807名（52.0％）</w:t>
      </w:r>
    </w:p>
    <w:p w:rsidR="000E1574" w:rsidRPr="000E1574" w:rsidRDefault="000E1574" w:rsidP="000E1574">
      <w:r w:rsidRPr="000E1574">
        <w:rPr>
          <w:rFonts w:hint="eastAsia"/>
        </w:rPr>
        <w:t xml:space="preserve">　</w:t>
      </w:r>
      <w:r>
        <w:rPr>
          <w:rFonts w:hint="eastAsia"/>
        </w:rPr>
        <w:t xml:space="preserve">　　　　</w:t>
      </w:r>
      <w:r w:rsidR="00765B5C">
        <w:rPr>
          <w:rFonts w:hint="eastAsia"/>
        </w:rPr>
        <w:t xml:space="preserve">　</w:t>
      </w:r>
      <w:r>
        <w:rPr>
          <w:rFonts w:hint="eastAsia"/>
        </w:rPr>
        <w:t xml:space="preserve">　</w:t>
      </w:r>
      <w:r w:rsidRPr="000E1574">
        <w:rPr>
          <w:rFonts w:hint="eastAsia"/>
        </w:rPr>
        <w:t>（平均年齢）男性 55.2歳、女性 53.6歳</w:t>
      </w:r>
    </w:p>
    <w:p w:rsidR="000E1574" w:rsidRPr="000E1574" w:rsidRDefault="000E1574" w:rsidP="00765B5C">
      <w:pPr>
        <w:ind w:leftChars="100" w:left="1470" w:hangingChars="600" w:hanging="1260"/>
      </w:pPr>
      <w:r>
        <w:rPr>
          <w:rFonts w:hint="eastAsia"/>
          <w:bCs/>
        </w:rPr>
        <w:t>○</w:t>
      </w:r>
      <w:r w:rsidRPr="000E1574">
        <w:rPr>
          <w:rFonts w:hint="eastAsia"/>
          <w:bCs/>
        </w:rPr>
        <w:t>調査内容</w:t>
      </w:r>
      <w:r w:rsidRPr="000E1574">
        <w:rPr>
          <w:rFonts w:hint="eastAsia"/>
        </w:rPr>
        <w:t xml:space="preserve">　①基本属性・背景情報、②ギャンブル等（※）行動、③ギャンブル等関連問題、④ギャンブル障害のスクリーニングテスト、⑤クロスアディクション、⑥その他（依存症等の疾患に関する認識・新型コロナの影響等）</w:t>
      </w:r>
    </w:p>
    <w:p w:rsidR="000E1574" w:rsidRPr="000E1574" w:rsidRDefault="000E1574" w:rsidP="00765B5C">
      <w:pPr>
        <w:ind w:leftChars="100" w:left="1470" w:hangingChars="600" w:hanging="1260"/>
      </w:pPr>
      <w:r w:rsidRPr="000E1574">
        <w:rPr>
          <w:rFonts w:hint="eastAsia"/>
          <w:bCs/>
        </w:rPr>
        <w:t>○その他</w:t>
      </w:r>
      <w:r w:rsidRPr="000E1574">
        <w:rPr>
          <w:rFonts w:hint="eastAsia"/>
          <w:b/>
          <w:bCs/>
        </w:rPr>
        <w:t xml:space="preserve">　　</w:t>
      </w:r>
      <w:r w:rsidRPr="000E1574">
        <w:rPr>
          <w:rFonts w:hint="eastAsia"/>
        </w:rPr>
        <w:t>調査項目の作成等について、独立行政法人国立病院機構久里浜医療センターの協力を得た。</w:t>
      </w:r>
    </w:p>
    <w:p w:rsidR="000E1574" w:rsidRDefault="000E1574" w:rsidP="00765B5C">
      <w:pPr>
        <w:ind w:leftChars="100" w:left="630" w:hangingChars="200" w:hanging="420"/>
      </w:pPr>
      <w:r w:rsidRPr="000E1574">
        <w:rPr>
          <w:rFonts w:hint="eastAsia"/>
        </w:rPr>
        <w:t>（※）本調査における「ギャンブル等」とは、競馬、競輪、オートレース、モーターボート競走といった公営競技の他、パチンコ・パチスロの射幸行為や宝くじ（ロト・ナンバーズ等含む）、FX等も含む。</w:t>
      </w:r>
    </w:p>
    <w:p w:rsidR="00765B5C" w:rsidRPr="000E1574" w:rsidRDefault="00765B5C" w:rsidP="00765B5C">
      <w:pPr>
        <w:ind w:leftChars="100" w:left="630" w:hangingChars="200" w:hanging="420"/>
      </w:pPr>
    </w:p>
    <w:p w:rsidR="000E1574" w:rsidRDefault="00ED2BC2" w:rsidP="000E1574">
      <w:r>
        <w:rPr>
          <w:rFonts w:hint="eastAsia"/>
          <w:bdr w:val="single" w:sz="4" w:space="0" w:color="auto"/>
        </w:rPr>
        <w:t>３</w:t>
      </w:r>
      <w:r w:rsidR="000E1574" w:rsidRPr="000E1574">
        <w:rPr>
          <w:rFonts w:hint="eastAsia"/>
          <w:bdr w:val="single" w:sz="4" w:space="0" w:color="auto"/>
        </w:rPr>
        <w:t>ページ</w:t>
      </w:r>
      <w:r w:rsidR="000E1574">
        <w:rPr>
          <w:rFonts w:hint="eastAsia"/>
        </w:rPr>
        <w:t xml:space="preserve">　</w:t>
      </w:r>
      <w:r w:rsidR="000E1574" w:rsidRPr="000E1574">
        <w:rPr>
          <w:rFonts w:hint="eastAsia"/>
        </w:rPr>
        <w:t>調査の結果概要①　「ギャンブル等依存が疑われる者」の推計値</w:t>
      </w:r>
    </w:p>
    <w:p w:rsidR="000E1574" w:rsidRDefault="000E1574" w:rsidP="00CF05BA">
      <w:pPr>
        <w:ind w:leftChars="100" w:left="420" w:hangingChars="100" w:hanging="210"/>
      </w:pPr>
      <w:r>
        <w:rPr>
          <w:rFonts w:hint="eastAsia"/>
        </w:rPr>
        <w:t>○</w:t>
      </w:r>
      <w:r w:rsidR="007040C5" w:rsidRPr="007040C5">
        <w:t>SOGS（※1）を用いて、過去1年間以内のギャンブル等の経験等について評価を行った結果「ギャンブル等依存が疑われる者」の割合の推計値は、18歳以上の</w:t>
      </w:r>
      <w:r w:rsidR="007040C5" w:rsidRPr="007040C5">
        <w:rPr>
          <w:u w:val="single"/>
        </w:rPr>
        <w:t>1.3％（0.8～2.0</w:t>
      </w:r>
      <w:r w:rsidR="007040C5">
        <w:rPr>
          <w:u w:val="single"/>
        </w:rPr>
        <w:t>％）</w:t>
      </w:r>
      <w:r w:rsidR="007040C5" w:rsidRPr="007040C5">
        <w:t>となった。</w:t>
      </w:r>
    </w:p>
    <w:p w:rsidR="000E1574" w:rsidRDefault="000E1574" w:rsidP="00765B5C">
      <w:pPr>
        <w:ind w:leftChars="100" w:left="420" w:hangingChars="100" w:hanging="210"/>
      </w:pPr>
      <w:r>
        <w:rPr>
          <w:rFonts w:hint="eastAsia"/>
        </w:rPr>
        <w:t>○同調査において、PGSI</w:t>
      </w:r>
      <w:r w:rsidRPr="000E1574">
        <w:rPr>
          <w:rFonts w:hint="eastAsia"/>
        </w:rPr>
        <w:t>（※4）</w:t>
      </w:r>
      <w:r>
        <w:rPr>
          <w:rFonts w:hint="eastAsia"/>
        </w:rPr>
        <w:t>を用いて、過去1年間以内のギャンブル等の経験等について評価を行った結果、「ギャンブル等依存が疑われる者」の割合の推計値は、18歳以上の</w:t>
      </w:r>
      <w:r>
        <w:rPr>
          <w:rFonts w:hint="eastAsia"/>
          <w:u w:val="single"/>
        </w:rPr>
        <w:t>0.7％（0.4～1.3％）</w:t>
      </w:r>
      <w:r w:rsidR="00CF05BA" w:rsidRPr="00CF05BA">
        <w:rPr>
          <w:rFonts w:hint="eastAsia"/>
        </w:rPr>
        <w:t>（※</w:t>
      </w:r>
      <w:r w:rsidR="00CF05BA" w:rsidRPr="00CF05BA">
        <w:t>3）</w:t>
      </w:r>
      <w:r>
        <w:rPr>
          <w:rFonts w:hint="eastAsia"/>
        </w:rPr>
        <w:t>となった。</w:t>
      </w:r>
    </w:p>
    <w:p w:rsidR="00CF05BA" w:rsidRDefault="00CF05BA" w:rsidP="00CF05BA">
      <w:pPr>
        <w:ind w:leftChars="100" w:left="840" w:hangingChars="300" w:hanging="630"/>
      </w:pPr>
      <w:r>
        <w:rPr>
          <w:rFonts w:hint="eastAsia"/>
        </w:rPr>
        <w:t>（※</w:t>
      </w:r>
      <w:r>
        <w:t>1）SOGS （The South Oaks Gambling Screen）は、アメリカのサウスオークス財団が開発した病的ギャンブラーを検出するための自記式</w:t>
      </w:r>
      <w:r>
        <w:rPr>
          <w:rFonts w:hint="eastAsia"/>
        </w:rPr>
        <w:t>スクリーニングテスト。ギャンブル障害に関する国内外の疫学調査で数多く採用されている。得点範囲は</w:t>
      </w:r>
      <w:r>
        <w:t>0点～20点で、本調査は合計5点</w:t>
      </w:r>
      <w:r>
        <w:rPr>
          <w:rFonts w:hint="eastAsia"/>
        </w:rPr>
        <w:t>以上の者を「ギャンブル等依存が疑われる者」とした。</w:t>
      </w:r>
    </w:p>
    <w:p w:rsidR="00CF05BA" w:rsidRDefault="00CF05BA" w:rsidP="00CF05BA">
      <w:pPr>
        <w:ind w:leftChars="100" w:left="840" w:hangingChars="300" w:hanging="630"/>
      </w:pPr>
      <w:r>
        <w:rPr>
          <w:rFonts w:hint="eastAsia"/>
        </w:rPr>
        <w:t>（※</w:t>
      </w:r>
      <w:r>
        <w:t>2）過去1年間でギャンブル等の経験がある者のうち、SOGSの質問項目に全て回答した者を対象</w:t>
      </w:r>
      <w:r>
        <w:lastRenderedPageBreak/>
        <w:t>とした。</w:t>
      </w:r>
    </w:p>
    <w:p w:rsidR="000E1574" w:rsidRDefault="000E1574" w:rsidP="000E1574">
      <w:pPr>
        <w:ind w:leftChars="100" w:left="840" w:hangingChars="300" w:hanging="630"/>
      </w:pPr>
      <w:r>
        <w:rPr>
          <w:rFonts w:hint="eastAsia"/>
        </w:rPr>
        <w:t>（※3）数値は年齢調整後の値。（）内は95％信頼区間：同じ調査を100回実施した場合、95回はその区間内になることを意味する。</w:t>
      </w:r>
    </w:p>
    <w:p w:rsidR="000E1574" w:rsidRDefault="000E1574" w:rsidP="000E1574">
      <w:pPr>
        <w:ind w:leftChars="100" w:left="840" w:hangingChars="300" w:hanging="630"/>
      </w:pPr>
      <w:r>
        <w:rPr>
          <w:rFonts w:hint="eastAsia"/>
        </w:rPr>
        <w:t>（※4）PGSI（問題ギャンブル重症度指数；the Problem Gambling Severity Index）は、9項目の質問（４尺度で回答）からなる自記式スクリーニングテストで、地域住民を対象とした疫学調査で用いることを目的に開発された。得点範囲は0点～27点で、本調査では、8点以上を「ギャンブル等依存が疑われる者」とした。</w:t>
      </w:r>
    </w:p>
    <w:p w:rsidR="00765B5C" w:rsidRDefault="00286FA3" w:rsidP="00286FA3">
      <w:pPr>
        <w:ind w:leftChars="100" w:left="1260" w:hangingChars="500" w:hanging="1050"/>
      </w:pPr>
      <w:r>
        <w:rPr>
          <w:rFonts w:hint="eastAsia"/>
        </w:rPr>
        <w:t xml:space="preserve">　図表１　過去1年間におけるギャンブル等依存が疑われる者（SOGS</w:t>
      </w:r>
      <w:r>
        <w:t xml:space="preserve"> </w:t>
      </w:r>
      <w:r>
        <w:rPr>
          <w:rFonts w:hint="eastAsia"/>
        </w:rPr>
        <w:t>5点以上）の割合（年齢調整後）</w:t>
      </w:r>
    </w:p>
    <w:p w:rsidR="00286FA3" w:rsidRPr="00286FA3" w:rsidRDefault="00286FA3" w:rsidP="00286FA3">
      <w:pPr>
        <w:ind w:leftChars="100" w:left="1260" w:hangingChars="500" w:hanging="1050"/>
      </w:pPr>
      <w:r>
        <w:rPr>
          <w:rFonts w:hint="eastAsia"/>
        </w:rPr>
        <w:t xml:space="preserve">　図表２　過去1年間におけるギャンブル等依存が疑われる者（PGSI８点以上）の割合（年齢調整後）</w:t>
      </w:r>
    </w:p>
    <w:p w:rsidR="00286FA3" w:rsidRDefault="00286FA3" w:rsidP="000E1574">
      <w:pPr>
        <w:ind w:leftChars="100" w:left="840" w:hangingChars="300" w:hanging="630"/>
      </w:pPr>
    </w:p>
    <w:p w:rsidR="000E1574" w:rsidRDefault="00ED2BC2" w:rsidP="000E1574">
      <w:r>
        <w:rPr>
          <w:rFonts w:hint="eastAsia"/>
          <w:bdr w:val="single" w:sz="4" w:space="0" w:color="auto"/>
        </w:rPr>
        <w:t>４</w:t>
      </w:r>
      <w:r w:rsidR="000E1574" w:rsidRPr="000E1574">
        <w:rPr>
          <w:rFonts w:hint="eastAsia"/>
          <w:bdr w:val="single" w:sz="4" w:space="0" w:color="auto"/>
        </w:rPr>
        <w:t>ページ</w:t>
      </w:r>
      <w:r w:rsidR="000E1574">
        <w:rPr>
          <w:rFonts w:hint="eastAsia"/>
        </w:rPr>
        <w:t xml:space="preserve">　</w:t>
      </w:r>
      <w:r w:rsidR="000E1574" w:rsidRPr="000E1574">
        <w:rPr>
          <w:rFonts w:hint="eastAsia"/>
        </w:rPr>
        <w:t>調査の結果概要②　ギャンブル等行動・ギャンブル等問題</w:t>
      </w:r>
    </w:p>
    <w:p w:rsidR="00ED2BC2" w:rsidRPr="00ED2BC2" w:rsidRDefault="00ED2BC2" w:rsidP="00ED2BC2">
      <w:pPr>
        <w:rPr>
          <w:szCs w:val="21"/>
        </w:rPr>
      </w:pPr>
      <w:r w:rsidRPr="00ED2BC2">
        <w:rPr>
          <w:rFonts w:hint="eastAsia"/>
          <w:szCs w:val="21"/>
        </w:rPr>
        <w:t>（１）ギャンブル等行動</w:t>
      </w:r>
    </w:p>
    <w:p w:rsidR="00ED2BC2" w:rsidRPr="00ED2BC2" w:rsidRDefault="00ED2BC2" w:rsidP="00765B5C">
      <w:pPr>
        <w:ind w:firstLineChars="100" w:firstLine="210"/>
        <w:rPr>
          <w:szCs w:val="21"/>
        </w:rPr>
      </w:pPr>
      <w:r w:rsidRPr="00ED2BC2">
        <w:rPr>
          <w:rFonts w:hint="eastAsia"/>
          <w:szCs w:val="21"/>
        </w:rPr>
        <w:t>＜全回答者＞</w:t>
      </w:r>
    </w:p>
    <w:p w:rsidR="00ED2BC2" w:rsidRPr="00ED2BC2" w:rsidRDefault="00ED2BC2" w:rsidP="00765B5C">
      <w:pPr>
        <w:ind w:firstLineChars="100" w:firstLine="210"/>
        <w:rPr>
          <w:szCs w:val="21"/>
        </w:rPr>
      </w:pPr>
      <w:r w:rsidRPr="00ED2BC2">
        <w:rPr>
          <w:rFonts w:hint="eastAsia"/>
          <w:szCs w:val="21"/>
        </w:rPr>
        <w:t>〇生涯のギャンブル等経験率</w:t>
      </w:r>
      <w:r w:rsidRPr="00ED2BC2">
        <w:rPr>
          <w:szCs w:val="21"/>
        </w:rPr>
        <w:t>1,102名（71.0％）うち、男性 614名（82.4％）、女性 488名（60.5％）</w:t>
      </w:r>
    </w:p>
    <w:p w:rsidR="00ED2BC2" w:rsidRPr="00ED2BC2" w:rsidRDefault="00ED2BC2" w:rsidP="00765B5C">
      <w:pPr>
        <w:ind w:firstLineChars="100" w:firstLine="210"/>
        <w:rPr>
          <w:szCs w:val="21"/>
        </w:rPr>
      </w:pPr>
      <w:r w:rsidRPr="00ED2BC2">
        <w:rPr>
          <w:rFonts w:hint="eastAsia"/>
          <w:szCs w:val="21"/>
        </w:rPr>
        <w:t>〇過去</w:t>
      </w:r>
      <w:r w:rsidRPr="00ED2BC2">
        <w:rPr>
          <w:szCs w:val="21"/>
        </w:rPr>
        <w:t>1年間のギャンブル等経験率　508名（32.7％）うち、男性 335名（45.0％）、女性 173名（21.4％）</w:t>
      </w:r>
    </w:p>
    <w:p w:rsidR="00ED2BC2" w:rsidRPr="00ED2BC2" w:rsidRDefault="00ED2BC2" w:rsidP="00765B5C">
      <w:pPr>
        <w:ind w:firstLineChars="100" w:firstLine="210"/>
        <w:rPr>
          <w:szCs w:val="21"/>
        </w:rPr>
      </w:pPr>
      <w:r w:rsidRPr="00ED2BC2">
        <w:rPr>
          <w:rFonts w:hint="eastAsia"/>
          <w:szCs w:val="21"/>
        </w:rPr>
        <w:t>〇過去</w:t>
      </w:r>
      <w:r w:rsidRPr="00ED2BC2">
        <w:rPr>
          <w:szCs w:val="21"/>
        </w:rPr>
        <w:t>1年間にギャンブル等に使った金額（1か月当たり）中央値 9,000円</w:t>
      </w:r>
    </w:p>
    <w:p w:rsidR="00ED2BC2" w:rsidRPr="00ED2BC2" w:rsidRDefault="00ED2BC2" w:rsidP="00765B5C">
      <w:pPr>
        <w:ind w:leftChars="100" w:left="420" w:hangingChars="100" w:hanging="210"/>
        <w:rPr>
          <w:szCs w:val="21"/>
        </w:rPr>
      </w:pPr>
      <w:r w:rsidRPr="00ED2BC2">
        <w:rPr>
          <w:rFonts w:hint="eastAsia"/>
          <w:szCs w:val="21"/>
        </w:rPr>
        <w:t>〇過去</w:t>
      </w:r>
      <w:r w:rsidRPr="00ED2BC2">
        <w:rPr>
          <w:szCs w:val="21"/>
        </w:rPr>
        <w:t>1年間に経験したギャンブル等の種類は、宝くじ（ロト・ナンバーズ等含む）が最多（365名）、競馬（119名）、パチンコ（113名）の順に多い。</w:t>
      </w:r>
    </w:p>
    <w:p w:rsidR="00ED2BC2" w:rsidRPr="00ED2BC2" w:rsidRDefault="00ED2BC2" w:rsidP="00B86BF6">
      <w:pPr>
        <w:ind w:leftChars="100" w:left="420" w:hangingChars="100" w:hanging="210"/>
        <w:rPr>
          <w:szCs w:val="21"/>
        </w:rPr>
      </w:pPr>
      <w:r w:rsidRPr="00ED2BC2">
        <w:rPr>
          <w:rFonts w:hint="eastAsia"/>
          <w:szCs w:val="21"/>
        </w:rPr>
        <w:t>〇過去</w:t>
      </w:r>
      <w:r w:rsidRPr="00ED2BC2">
        <w:rPr>
          <w:szCs w:val="21"/>
        </w:rPr>
        <w:t>1年間に最もお金を使ったギャンブル等の種類は、</w:t>
      </w:r>
      <w:r w:rsidR="00B86BF6" w:rsidRPr="00B86BF6">
        <w:rPr>
          <w:rFonts w:hint="eastAsia"/>
          <w:szCs w:val="21"/>
        </w:rPr>
        <w:t>宝くじ（ロト・ナンバーズ等含む）が最多（</w:t>
      </w:r>
      <w:r w:rsidR="00B86BF6" w:rsidRPr="00B86BF6">
        <w:rPr>
          <w:szCs w:val="21"/>
        </w:rPr>
        <w:t>50.1％）、</w:t>
      </w:r>
      <w:r w:rsidR="00B86BF6" w:rsidRPr="00B86BF6">
        <w:rPr>
          <w:rFonts w:hint="eastAsia"/>
          <w:szCs w:val="21"/>
        </w:rPr>
        <w:t>パチンコ（</w:t>
      </w:r>
      <w:r w:rsidR="00B86BF6" w:rsidRPr="00B86BF6">
        <w:rPr>
          <w:szCs w:val="21"/>
        </w:rPr>
        <w:t>19.2％）が次に多い。</w:t>
      </w:r>
    </w:p>
    <w:p w:rsidR="00ED2BC2" w:rsidRDefault="00ED2BC2" w:rsidP="00765B5C">
      <w:pPr>
        <w:ind w:leftChars="100" w:left="420" w:hangingChars="100" w:hanging="210"/>
        <w:rPr>
          <w:szCs w:val="21"/>
        </w:rPr>
      </w:pPr>
      <w:r w:rsidRPr="00ED2BC2">
        <w:rPr>
          <w:rFonts w:hint="eastAsia"/>
          <w:szCs w:val="21"/>
        </w:rPr>
        <w:t>○初めてギャンブル等を開始した年齢・習慣的にギャンブル等をするようになった年齢は、いずれも</w:t>
      </w:r>
      <w:r w:rsidRPr="00ED2BC2">
        <w:rPr>
          <w:szCs w:val="21"/>
        </w:rPr>
        <w:t>20歳代・10歳代の順で割合が高い。特に18歳と20歳でピークが見られた。</w:t>
      </w:r>
    </w:p>
    <w:p w:rsidR="00F92CCB" w:rsidRPr="00ED2BC2" w:rsidRDefault="00F92CCB" w:rsidP="00F92CCB">
      <w:pPr>
        <w:ind w:leftChars="100" w:left="420" w:hangingChars="100" w:hanging="210"/>
        <w:rPr>
          <w:szCs w:val="21"/>
        </w:rPr>
      </w:pPr>
      <w:r w:rsidRPr="00ED2BC2">
        <w:rPr>
          <w:rFonts w:hint="eastAsia"/>
          <w:szCs w:val="21"/>
        </w:rPr>
        <w:t>○</w:t>
      </w:r>
      <w:r w:rsidRPr="00F92CCB">
        <w:rPr>
          <w:rFonts w:hint="eastAsia"/>
          <w:szCs w:val="21"/>
        </w:rPr>
        <w:t>過去</w:t>
      </w:r>
      <w:r w:rsidRPr="00F92CCB">
        <w:rPr>
          <w:szCs w:val="21"/>
        </w:rPr>
        <w:t>1年間に競馬・競輪・競艇・オートレースを経験した者の中では、</w:t>
      </w:r>
      <w:r>
        <w:rPr>
          <w:rFonts w:hint="eastAsia"/>
          <w:szCs w:val="21"/>
        </w:rPr>
        <w:t>オンライン購入について</w:t>
      </w:r>
      <w:r w:rsidRPr="00ED2BC2">
        <w:rPr>
          <w:rFonts w:hint="eastAsia"/>
          <w:szCs w:val="21"/>
        </w:rPr>
        <w:t>、「競馬」</w:t>
      </w:r>
      <w:r w:rsidRPr="00ED2BC2">
        <w:rPr>
          <w:szCs w:val="21"/>
        </w:rPr>
        <w:t>75.4％、「競輪」33.4％、「競艇」69.2％、「オートレース」100%の割合で利用していた。</w:t>
      </w:r>
    </w:p>
    <w:p w:rsidR="00765B5C" w:rsidRPr="00F92CCB" w:rsidRDefault="00765B5C" w:rsidP="00765B5C">
      <w:pPr>
        <w:ind w:leftChars="100" w:left="420" w:hangingChars="100" w:hanging="210"/>
        <w:rPr>
          <w:szCs w:val="21"/>
        </w:rPr>
      </w:pPr>
    </w:p>
    <w:p w:rsidR="00ED2BC2" w:rsidRPr="00ED2BC2" w:rsidRDefault="00ED2BC2" w:rsidP="00765B5C">
      <w:pPr>
        <w:ind w:firstLineChars="100" w:firstLine="210"/>
        <w:rPr>
          <w:szCs w:val="21"/>
        </w:rPr>
      </w:pPr>
      <w:r w:rsidRPr="00ED2BC2">
        <w:rPr>
          <w:rFonts w:hint="eastAsia"/>
          <w:szCs w:val="21"/>
        </w:rPr>
        <w:t>＜過去</w:t>
      </w:r>
      <w:r w:rsidRPr="00ED2BC2">
        <w:rPr>
          <w:szCs w:val="21"/>
        </w:rPr>
        <w:t>1年間におけるギャンブル等依存が疑われる者（SOGS 5点以上）＞</w:t>
      </w:r>
    </w:p>
    <w:p w:rsidR="00ED2BC2" w:rsidRPr="00ED2BC2" w:rsidRDefault="00765B5C" w:rsidP="00765B5C">
      <w:pPr>
        <w:ind w:firstLineChars="100" w:firstLine="210"/>
        <w:rPr>
          <w:szCs w:val="21"/>
        </w:rPr>
      </w:pPr>
      <w:r>
        <w:rPr>
          <w:rFonts w:hint="eastAsia"/>
          <w:szCs w:val="21"/>
        </w:rPr>
        <w:t>〇</w:t>
      </w:r>
      <w:r w:rsidR="00ED2BC2" w:rsidRPr="00ED2BC2">
        <w:rPr>
          <w:rFonts w:hint="eastAsia"/>
          <w:szCs w:val="21"/>
        </w:rPr>
        <w:t>過去</w:t>
      </w:r>
      <w:r w:rsidR="00ED2BC2" w:rsidRPr="00ED2BC2">
        <w:rPr>
          <w:szCs w:val="21"/>
        </w:rPr>
        <w:t>1年間にギャンブル等に使った金額（1か月当たり）　中央値 50,000円</w:t>
      </w:r>
    </w:p>
    <w:p w:rsidR="00765B5C" w:rsidRDefault="00765B5C" w:rsidP="00765B5C">
      <w:pPr>
        <w:ind w:leftChars="100" w:left="420" w:hangingChars="100" w:hanging="210"/>
        <w:rPr>
          <w:szCs w:val="21"/>
        </w:rPr>
      </w:pPr>
      <w:r>
        <w:rPr>
          <w:rFonts w:hint="eastAsia"/>
          <w:szCs w:val="21"/>
        </w:rPr>
        <w:t>〇</w:t>
      </w:r>
      <w:r w:rsidR="00ED2BC2" w:rsidRPr="00ED2BC2">
        <w:rPr>
          <w:rFonts w:hint="eastAsia"/>
          <w:szCs w:val="21"/>
        </w:rPr>
        <w:t>過去</w:t>
      </w:r>
      <w:r w:rsidR="00ED2BC2" w:rsidRPr="00ED2BC2">
        <w:rPr>
          <w:szCs w:val="21"/>
        </w:rPr>
        <w:t>1年間に最もお金を使ったギャンブル等の種類は、パチンコ（50.0%）、パチスロ（31.8%）、競馬（9.1％）の</w:t>
      </w:r>
      <w:r w:rsidR="00ED2BC2" w:rsidRPr="00ED2BC2">
        <w:rPr>
          <w:rFonts w:hint="eastAsia"/>
          <w:szCs w:val="21"/>
        </w:rPr>
        <w:t>順で割合が高い。</w:t>
      </w:r>
    </w:p>
    <w:p w:rsidR="00765B5C" w:rsidRDefault="00765B5C" w:rsidP="00765B5C">
      <w:pPr>
        <w:ind w:leftChars="100" w:left="420" w:hangingChars="100" w:hanging="210"/>
        <w:rPr>
          <w:szCs w:val="21"/>
        </w:rPr>
      </w:pPr>
    </w:p>
    <w:p w:rsidR="00ED2BC2" w:rsidRPr="00ED2BC2" w:rsidRDefault="00ED2BC2" w:rsidP="00765B5C">
      <w:pPr>
        <w:rPr>
          <w:szCs w:val="21"/>
        </w:rPr>
      </w:pPr>
      <w:r w:rsidRPr="00ED2BC2">
        <w:rPr>
          <w:rFonts w:hint="eastAsia"/>
          <w:szCs w:val="21"/>
        </w:rPr>
        <w:t>（２）家族や重要な他者のギャンブル等問題とその影響・相談先</w:t>
      </w:r>
    </w:p>
    <w:p w:rsidR="00765B5C" w:rsidRDefault="00765B5C" w:rsidP="00765B5C">
      <w:pPr>
        <w:ind w:leftChars="100" w:left="420" w:hangingChars="100" w:hanging="210"/>
        <w:rPr>
          <w:szCs w:val="21"/>
        </w:rPr>
      </w:pPr>
      <w:r>
        <w:rPr>
          <w:rFonts w:hint="eastAsia"/>
          <w:szCs w:val="21"/>
        </w:rPr>
        <w:t>〇</w:t>
      </w:r>
      <w:r w:rsidR="00ED2BC2" w:rsidRPr="00ED2BC2">
        <w:rPr>
          <w:rFonts w:hint="eastAsia"/>
          <w:szCs w:val="21"/>
        </w:rPr>
        <w:t>家族や重要な他者の中に、ギャンブル等問題がある（あった）と回答したのは、全体の</w:t>
      </w:r>
      <w:r w:rsidR="00ED2BC2" w:rsidRPr="00ED2BC2">
        <w:rPr>
          <w:szCs w:val="21"/>
        </w:rPr>
        <w:t>14.8%（男性9.8%</w:t>
      </w:r>
      <w:r>
        <w:rPr>
          <w:szCs w:val="21"/>
        </w:rPr>
        <w:t>、</w:t>
      </w:r>
      <w:r w:rsidR="00ED2BC2" w:rsidRPr="00ED2BC2">
        <w:rPr>
          <w:rFonts w:hint="eastAsia"/>
          <w:szCs w:val="21"/>
        </w:rPr>
        <w:t>女性</w:t>
      </w:r>
      <w:r w:rsidR="00ED2BC2" w:rsidRPr="00ED2BC2">
        <w:rPr>
          <w:szCs w:val="21"/>
        </w:rPr>
        <w:t>19.3%）。問題の当事者との関係は、男性では「父親」5.2％、「上記以外の大事な人」2.0％の順で、</w:t>
      </w:r>
      <w:r w:rsidR="00ED2BC2" w:rsidRPr="00ED2BC2">
        <w:rPr>
          <w:rFonts w:hint="eastAsia"/>
          <w:szCs w:val="21"/>
        </w:rPr>
        <w:t>女性では「父親」</w:t>
      </w:r>
      <w:r w:rsidR="00ED2BC2" w:rsidRPr="00ED2BC2">
        <w:rPr>
          <w:szCs w:val="21"/>
        </w:rPr>
        <w:t>7.7％、「配偶者」6.7％の順で割合が高かった。</w:t>
      </w:r>
    </w:p>
    <w:p w:rsidR="00ED2BC2" w:rsidRPr="00765B5C" w:rsidRDefault="00765B5C" w:rsidP="00765B5C">
      <w:pPr>
        <w:ind w:leftChars="100" w:left="420" w:hangingChars="100" w:hanging="210"/>
        <w:rPr>
          <w:szCs w:val="21"/>
        </w:rPr>
      </w:pPr>
      <w:r>
        <w:rPr>
          <w:rFonts w:hint="eastAsia"/>
          <w:szCs w:val="21"/>
        </w:rPr>
        <w:t>〇</w:t>
      </w:r>
      <w:r w:rsidR="00ED2BC2" w:rsidRPr="00ED2BC2">
        <w:rPr>
          <w:rFonts w:hint="eastAsia"/>
          <w:szCs w:val="21"/>
        </w:rPr>
        <w:t>受けた影響は「浪費、借金による経済的困難</w:t>
      </w:r>
      <w:r>
        <w:rPr>
          <w:rFonts w:hint="eastAsia"/>
          <w:szCs w:val="21"/>
        </w:rPr>
        <w:t>が生じた」「ギャンブル等をやめられない人に怒りを感じた」の順に</w:t>
      </w:r>
      <w:r w:rsidR="00B86BF6">
        <w:rPr>
          <w:rFonts w:hint="eastAsia"/>
          <w:szCs w:val="21"/>
        </w:rPr>
        <w:t>割合が</w:t>
      </w:r>
      <w:r w:rsidR="00ED2BC2" w:rsidRPr="00ED2BC2">
        <w:rPr>
          <w:rFonts w:hint="eastAsia"/>
          <w:color w:val="000000"/>
          <w:szCs w:val="21"/>
        </w:rPr>
        <w:t>高かった。</w:t>
      </w:r>
    </w:p>
    <w:p w:rsidR="00ED2BC2" w:rsidRPr="00ED2BC2" w:rsidRDefault="00765B5C" w:rsidP="00765B5C">
      <w:pPr>
        <w:ind w:left="420" w:hangingChars="200" w:hanging="420"/>
        <w:rPr>
          <w:rFonts w:cs="ＭＳ Ｐゴシック"/>
          <w:kern w:val="0"/>
          <w:szCs w:val="21"/>
        </w:rPr>
      </w:pPr>
      <w:r>
        <w:rPr>
          <w:rFonts w:hint="eastAsia"/>
          <w:color w:val="000000"/>
          <w:szCs w:val="21"/>
        </w:rPr>
        <w:t xml:space="preserve">　〇</w:t>
      </w:r>
      <w:r w:rsidR="00ED2BC2" w:rsidRPr="00ED2BC2">
        <w:rPr>
          <w:rFonts w:hint="eastAsia"/>
          <w:color w:val="000000"/>
          <w:szCs w:val="21"/>
        </w:rPr>
        <w:t>ギャンブル等のことで困った時の相談先としては、「家族や友人」が最多で（57.1％）、続いて「公的な相談機関」（34.9％）、「民間の相談機関」（16.6％）で割合が高かった。一方で、全体の17.2％は「だ</w:t>
      </w:r>
      <w:r w:rsidR="00ED2BC2" w:rsidRPr="00ED2BC2">
        <w:rPr>
          <w:rFonts w:hint="eastAsia"/>
          <w:color w:val="000000"/>
          <w:szCs w:val="21"/>
        </w:rPr>
        <w:lastRenderedPageBreak/>
        <w:t>れ（どこ）にも相談しない」と回答した。</w:t>
      </w:r>
    </w:p>
    <w:p w:rsidR="000E1574" w:rsidRDefault="000E1574" w:rsidP="000E1574">
      <w:pPr>
        <w:rPr>
          <w:szCs w:val="21"/>
        </w:rPr>
      </w:pPr>
    </w:p>
    <w:p w:rsidR="00765B5C" w:rsidRDefault="00286FA3" w:rsidP="00765B5C">
      <w:r>
        <w:rPr>
          <w:rFonts w:hint="eastAsia"/>
          <w:bdr w:val="single" w:sz="4" w:space="0" w:color="auto"/>
        </w:rPr>
        <w:t>５</w:t>
      </w:r>
      <w:r w:rsidR="00765B5C" w:rsidRPr="000E1574">
        <w:rPr>
          <w:rFonts w:hint="eastAsia"/>
          <w:bdr w:val="single" w:sz="4" w:space="0" w:color="auto"/>
        </w:rPr>
        <w:t>ページ</w:t>
      </w:r>
      <w:r w:rsidR="00765B5C">
        <w:rPr>
          <w:rFonts w:hint="eastAsia"/>
        </w:rPr>
        <w:t xml:space="preserve">　</w:t>
      </w:r>
      <w:r w:rsidRPr="00286FA3">
        <w:rPr>
          <w:rFonts w:hint="eastAsia"/>
        </w:rPr>
        <w:t>調査の結果概要③　ギャンブル等関連問題・依存症への考え方等</w:t>
      </w:r>
    </w:p>
    <w:p w:rsidR="00286FA3" w:rsidRPr="00286FA3" w:rsidRDefault="00286FA3" w:rsidP="00286FA3">
      <w:pPr>
        <w:rPr>
          <w:szCs w:val="21"/>
        </w:rPr>
      </w:pPr>
      <w:r>
        <w:rPr>
          <w:rFonts w:hint="eastAsia"/>
          <w:szCs w:val="21"/>
        </w:rPr>
        <w:t>（３）</w:t>
      </w:r>
      <w:r w:rsidRPr="00286FA3">
        <w:rPr>
          <w:szCs w:val="21"/>
        </w:rPr>
        <w:t xml:space="preserve">ギャンブル等依存が疑われる者におけるギャンブル等関連問題との関連性　</w:t>
      </w:r>
    </w:p>
    <w:p w:rsidR="00286FA3" w:rsidRPr="00286FA3" w:rsidRDefault="00286FA3" w:rsidP="00286FA3">
      <w:pPr>
        <w:ind w:leftChars="100" w:left="420" w:hangingChars="100" w:hanging="210"/>
        <w:rPr>
          <w:szCs w:val="21"/>
        </w:rPr>
      </w:pPr>
      <w:r>
        <w:rPr>
          <w:rFonts w:hint="eastAsia"/>
          <w:szCs w:val="21"/>
        </w:rPr>
        <w:t>〇</w:t>
      </w:r>
      <w:r w:rsidRPr="00286FA3">
        <w:rPr>
          <w:szCs w:val="21"/>
        </w:rPr>
        <w:t>SOGS 5点以上に該当する数が少ないことから、内容の詳細についての解釈は慎重に行う必要がある。今回、関</w:t>
      </w:r>
      <w:r w:rsidRPr="00286FA3">
        <w:rPr>
          <w:rFonts w:hint="eastAsia"/>
          <w:szCs w:val="21"/>
        </w:rPr>
        <w:t xml:space="preserve">連が確認できなかった項目については、回答数の少なさが影響した可能性もある。　　</w:t>
      </w:r>
    </w:p>
    <w:p w:rsidR="00286FA3" w:rsidRPr="00286FA3" w:rsidRDefault="00286FA3" w:rsidP="00286FA3">
      <w:pPr>
        <w:ind w:left="420" w:hangingChars="200" w:hanging="420"/>
        <w:rPr>
          <w:szCs w:val="21"/>
        </w:rPr>
      </w:pPr>
      <w:r>
        <w:rPr>
          <w:rFonts w:hint="eastAsia"/>
          <w:szCs w:val="21"/>
        </w:rPr>
        <w:t xml:space="preserve">　○</w:t>
      </w:r>
      <w:r w:rsidRPr="00286FA3">
        <w:rPr>
          <w:szCs w:val="21"/>
        </w:rPr>
        <w:t>K６（</w:t>
      </w:r>
      <w:r w:rsidR="00B86BF6">
        <w:rPr>
          <w:rFonts w:hint="eastAsia"/>
          <w:szCs w:val="21"/>
        </w:rPr>
        <w:t>抑</w:t>
      </w:r>
      <w:r w:rsidR="00B86BF6">
        <w:rPr>
          <w:szCs w:val="21"/>
        </w:rPr>
        <w:t>うつ</w:t>
      </w:r>
      <w:r w:rsidR="00B86BF6">
        <w:rPr>
          <w:rFonts w:hint="eastAsia"/>
          <w:szCs w:val="21"/>
        </w:rPr>
        <w:t>・</w:t>
      </w:r>
      <w:r w:rsidRPr="00286FA3">
        <w:rPr>
          <w:szCs w:val="21"/>
        </w:rPr>
        <w:t>不安のスクリーニングテスト）では、ギャンブル等依存が疑われる者（SOGS 5点以上）の方が、そ</w:t>
      </w:r>
      <w:r w:rsidRPr="00286FA3">
        <w:rPr>
          <w:rFonts w:hint="eastAsia"/>
          <w:szCs w:val="21"/>
        </w:rPr>
        <w:t>うでない者より重度のうつ・不安障害が疑われる者が多かった。自殺したいと考えたことは、ギャンブル等依存が疑われる者の方が、そうでない者より多かった。</w:t>
      </w:r>
    </w:p>
    <w:p w:rsidR="00286FA3" w:rsidRPr="00286FA3" w:rsidRDefault="00286FA3" w:rsidP="00286FA3">
      <w:pPr>
        <w:ind w:left="420" w:hangingChars="200" w:hanging="420"/>
        <w:rPr>
          <w:szCs w:val="21"/>
        </w:rPr>
      </w:pPr>
      <w:r>
        <w:rPr>
          <w:rFonts w:hint="eastAsia"/>
          <w:szCs w:val="21"/>
        </w:rPr>
        <w:t xml:space="preserve">　○</w:t>
      </w:r>
      <w:r w:rsidRPr="00286FA3">
        <w:rPr>
          <w:rFonts w:hint="eastAsia"/>
          <w:szCs w:val="21"/>
        </w:rPr>
        <w:t>「現在喫煙している」と回答した割合は、ギャンブル等依存が疑われる者の方が、そうでない者より多かった。</w:t>
      </w:r>
    </w:p>
    <w:p w:rsidR="00286FA3" w:rsidRPr="00286FA3" w:rsidRDefault="00286FA3" w:rsidP="00286FA3">
      <w:pPr>
        <w:rPr>
          <w:szCs w:val="21"/>
        </w:rPr>
      </w:pPr>
      <w:r>
        <w:rPr>
          <w:rFonts w:hint="eastAsia"/>
          <w:szCs w:val="21"/>
        </w:rPr>
        <w:t xml:space="preserve">　○</w:t>
      </w:r>
      <w:r w:rsidRPr="00286FA3">
        <w:rPr>
          <w:rFonts w:hint="eastAsia"/>
          <w:szCs w:val="21"/>
        </w:rPr>
        <w:t>ギャンブル等依存が疑われる者と飲酒問題との関連は確認できなかった。</w:t>
      </w:r>
    </w:p>
    <w:p w:rsidR="00286FA3" w:rsidRPr="00286FA3" w:rsidRDefault="00286FA3" w:rsidP="00286FA3">
      <w:pPr>
        <w:ind w:left="420" w:hangingChars="200" w:hanging="420"/>
        <w:rPr>
          <w:szCs w:val="21"/>
        </w:rPr>
      </w:pPr>
      <w:r>
        <w:rPr>
          <w:rFonts w:hint="eastAsia"/>
          <w:szCs w:val="21"/>
        </w:rPr>
        <w:t xml:space="preserve">　○</w:t>
      </w:r>
      <w:r w:rsidRPr="00286FA3">
        <w:rPr>
          <w:rFonts w:hint="eastAsia"/>
          <w:szCs w:val="21"/>
        </w:rPr>
        <w:t>小児期の逆境的な体験（被虐待体験、両親の離婚、いじめ被害などの</w:t>
      </w:r>
      <w:r w:rsidRPr="00286FA3">
        <w:rPr>
          <w:szCs w:val="21"/>
        </w:rPr>
        <w:t>18歳までに経験した逆境的な体験）とギャ</w:t>
      </w:r>
      <w:r w:rsidRPr="00286FA3">
        <w:rPr>
          <w:rFonts w:hint="eastAsia"/>
          <w:szCs w:val="21"/>
        </w:rPr>
        <w:t>ンブル等依存が疑われる者との関連は確認できなかったが、回答者の</w:t>
      </w:r>
      <w:r w:rsidRPr="00286FA3">
        <w:rPr>
          <w:szCs w:val="21"/>
        </w:rPr>
        <w:t>23.5％が何らかの逆境的な体験を経験して</w:t>
      </w:r>
      <w:r w:rsidRPr="00286FA3">
        <w:rPr>
          <w:rFonts w:hint="eastAsia"/>
          <w:szCs w:val="21"/>
        </w:rPr>
        <w:t>いた。</w:t>
      </w:r>
    </w:p>
    <w:p w:rsidR="00286FA3" w:rsidRPr="00286FA3" w:rsidRDefault="00286FA3" w:rsidP="00286FA3">
      <w:pPr>
        <w:rPr>
          <w:szCs w:val="21"/>
        </w:rPr>
      </w:pPr>
    </w:p>
    <w:p w:rsidR="00286FA3" w:rsidRPr="00286FA3" w:rsidRDefault="00286FA3" w:rsidP="00286FA3">
      <w:pPr>
        <w:rPr>
          <w:szCs w:val="21"/>
        </w:rPr>
      </w:pPr>
      <w:r w:rsidRPr="00286FA3">
        <w:rPr>
          <w:rFonts w:hint="eastAsia"/>
          <w:szCs w:val="21"/>
        </w:rPr>
        <w:t>（４）ギャンブル等依存症対策の認知度</w:t>
      </w:r>
    </w:p>
    <w:p w:rsidR="00286FA3" w:rsidRPr="00286FA3" w:rsidRDefault="00286FA3" w:rsidP="00286FA3">
      <w:pPr>
        <w:ind w:leftChars="100" w:left="420" w:hangingChars="100" w:hanging="210"/>
        <w:rPr>
          <w:szCs w:val="21"/>
        </w:rPr>
      </w:pPr>
      <w:r>
        <w:rPr>
          <w:rFonts w:hint="eastAsia"/>
          <w:szCs w:val="21"/>
        </w:rPr>
        <w:t>〇</w:t>
      </w:r>
      <w:r w:rsidRPr="00286FA3">
        <w:rPr>
          <w:rFonts w:hint="eastAsia"/>
          <w:szCs w:val="21"/>
        </w:rPr>
        <w:t>ギャンブル等依存症対策に関して、「知っている」との回答は、「パチンコ・パチスロの入店制限」は</w:t>
      </w:r>
      <w:r w:rsidRPr="00286FA3">
        <w:rPr>
          <w:szCs w:val="21"/>
        </w:rPr>
        <w:t>6.9%</w:t>
      </w:r>
      <w:r>
        <w:rPr>
          <w:szCs w:val="21"/>
        </w:rPr>
        <w:t>、</w:t>
      </w:r>
      <w:r w:rsidRPr="00286FA3">
        <w:rPr>
          <w:rFonts w:hint="eastAsia"/>
          <w:szCs w:val="21"/>
        </w:rPr>
        <w:t>「競馬・競輪・競艇・オートレースの入場制限」は</w:t>
      </w:r>
      <w:r w:rsidRPr="00286FA3">
        <w:rPr>
          <w:szCs w:val="21"/>
        </w:rPr>
        <w:t>5.1%、「金融機関からの貸付制限」が10.1%と低い割合</w:t>
      </w:r>
      <w:r w:rsidRPr="00286FA3">
        <w:rPr>
          <w:rFonts w:hint="eastAsia"/>
          <w:szCs w:val="21"/>
        </w:rPr>
        <w:t>であった。</w:t>
      </w:r>
      <w:r w:rsidRPr="00286FA3">
        <w:rPr>
          <w:szCs w:val="21"/>
        </w:rPr>
        <w:t xml:space="preserve"> ギャンブル等依存が疑われる者では、それぞれ27.3%、22.7％、36.4％とそうでない者と比較して、</w:t>
      </w:r>
      <w:r w:rsidRPr="00286FA3">
        <w:rPr>
          <w:rFonts w:hint="eastAsia"/>
          <w:szCs w:val="21"/>
        </w:rPr>
        <w:t>認知度が高かった。</w:t>
      </w:r>
    </w:p>
    <w:p w:rsidR="00286FA3" w:rsidRPr="00286FA3" w:rsidRDefault="00286FA3" w:rsidP="00286FA3">
      <w:pPr>
        <w:rPr>
          <w:szCs w:val="21"/>
        </w:rPr>
      </w:pPr>
    </w:p>
    <w:p w:rsidR="00286FA3" w:rsidRPr="00286FA3" w:rsidRDefault="00286FA3" w:rsidP="00286FA3">
      <w:pPr>
        <w:rPr>
          <w:szCs w:val="21"/>
        </w:rPr>
      </w:pPr>
      <w:r w:rsidRPr="00286FA3">
        <w:rPr>
          <w:rFonts w:hint="eastAsia"/>
          <w:szCs w:val="21"/>
        </w:rPr>
        <w:t>（</w:t>
      </w:r>
      <w:r>
        <w:rPr>
          <w:rFonts w:hint="eastAsia"/>
          <w:szCs w:val="21"/>
        </w:rPr>
        <w:t>５）</w:t>
      </w:r>
      <w:r w:rsidR="00B86BF6">
        <w:rPr>
          <w:szCs w:val="21"/>
        </w:rPr>
        <w:t>依存症などの疾患に対する考え方</w:t>
      </w:r>
    </w:p>
    <w:p w:rsidR="00286FA3" w:rsidRPr="00286FA3" w:rsidRDefault="00286FA3" w:rsidP="00286FA3">
      <w:pPr>
        <w:ind w:left="420" w:hangingChars="200" w:hanging="420"/>
        <w:rPr>
          <w:szCs w:val="21"/>
        </w:rPr>
      </w:pPr>
      <w:r>
        <w:rPr>
          <w:rFonts w:hint="eastAsia"/>
          <w:szCs w:val="21"/>
        </w:rPr>
        <w:t xml:space="preserve">　〇</w:t>
      </w:r>
      <w:r w:rsidRPr="00286FA3">
        <w:rPr>
          <w:rFonts w:hint="eastAsia"/>
          <w:szCs w:val="21"/>
        </w:rPr>
        <w:t>病気になったのは「本人の責任で</w:t>
      </w:r>
      <w:r>
        <w:rPr>
          <w:rFonts w:hint="eastAsia"/>
          <w:szCs w:val="21"/>
        </w:rPr>
        <w:t>ある」と思う人の割合（「そう思う」、「強くそう思う」の合計）は、</w:t>
      </w:r>
      <w:r w:rsidRPr="00286FA3">
        <w:rPr>
          <w:rFonts w:hint="eastAsia"/>
          <w:szCs w:val="21"/>
        </w:rPr>
        <w:t>ギャンブル等依存症で</w:t>
      </w:r>
      <w:r w:rsidRPr="00286FA3">
        <w:rPr>
          <w:szCs w:val="21"/>
        </w:rPr>
        <w:t>75.0％で、他の精神疾患（うつ病13.9％、アルコール依存症64.0％）、身体疾患</w:t>
      </w:r>
      <w:r w:rsidRPr="00286FA3">
        <w:rPr>
          <w:rFonts w:hint="eastAsia"/>
          <w:szCs w:val="21"/>
        </w:rPr>
        <w:t>（がん</w:t>
      </w:r>
      <w:r w:rsidRPr="00286FA3">
        <w:rPr>
          <w:szCs w:val="21"/>
        </w:rPr>
        <w:t>6.2％、糖尿病30.8％）と比べて高かった。</w:t>
      </w:r>
    </w:p>
    <w:p w:rsidR="00286FA3" w:rsidRPr="00286FA3" w:rsidRDefault="00286FA3" w:rsidP="00286FA3">
      <w:pPr>
        <w:rPr>
          <w:szCs w:val="21"/>
        </w:rPr>
      </w:pPr>
    </w:p>
    <w:p w:rsidR="00286FA3" w:rsidRPr="00286FA3" w:rsidRDefault="00286FA3" w:rsidP="00286FA3">
      <w:pPr>
        <w:rPr>
          <w:szCs w:val="21"/>
        </w:rPr>
      </w:pPr>
      <w:r w:rsidRPr="00286FA3">
        <w:rPr>
          <w:rFonts w:hint="eastAsia"/>
          <w:szCs w:val="21"/>
        </w:rPr>
        <w:t>（６）</w:t>
      </w:r>
      <w:r w:rsidR="00B86BF6">
        <w:rPr>
          <w:rFonts w:hint="eastAsia"/>
          <w:szCs w:val="21"/>
        </w:rPr>
        <w:t>新型コロナウイルス感染拡大とインターネットを使ったギャンブル等</w:t>
      </w:r>
    </w:p>
    <w:p w:rsidR="00765B5C" w:rsidRDefault="00286FA3" w:rsidP="00286FA3">
      <w:pPr>
        <w:ind w:left="420" w:hangingChars="200" w:hanging="420"/>
        <w:rPr>
          <w:szCs w:val="21"/>
        </w:rPr>
      </w:pPr>
      <w:r>
        <w:rPr>
          <w:rFonts w:hint="eastAsia"/>
          <w:szCs w:val="21"/>
        </w:rPr>
        <w:t xml:space="preserve">　〇</w:t>
      </w:r>
      <w:r w:rsidRPr="00286FA3">
        <w:rPr>
          <w:rFonts w:hint="eastAsia"/>
          <w:szCs w:val="21"/>
        </w:rPr>
        <w:t>新型コロナウイルス感染症とインターネットを使ったギャンブル等の利用との関連は確認できなかった。</w:t>
      </w:r>
    </w:p>
    <w:p w:rsidR="00286FA3" w:rsidRDefault="00286FA3" w:rsidP="00286FA3">
      <w:pPr>
        <w:ind w:left="420" w:hangingChars="200" w:hanging="420"/>
        <w:rPr>
          <w:szCs w:val="21"/>
        </w:rPr>
      </w:pPr>
    </w:p>
    <w:p w:rsidR="00286FA3" w:rsidRDefault="00286FA3" w:rsidP="00286FA3">
      <w:r>
        <w:rPr>
          <w:rFonts w:hint="eastAsia"/>
          <w:bdr w:val="single" w:sz="4" w:space="0" w:color="auto"/>
        </w:rPr>
        <w:t>６</w:t>
      </w:r>
      <w:r w:rsidRPr="000E1574">
        <w:rPr>
          <w:rFonts w:hint="eastAsia"/>
          <w:bdr w:val="single" w:sz="4" w:space="0" w:color="auto"/>
        </w:rPr>
        <w:t>ページ</w:t>
      </w:r>
      <w:r>
        <w:rPr>
          <w:rFonts w:hint="eastAsia"/>
        </w:rPr>
        <w:t xml:space="preserve">　</w:t>
      </w:r>
      <w:r w:rsidRPr="00286FA3">
        <w:rPr>
          <w:rFonts w:hint="eastAsia"/>
        </w:rPr>
        <w:t>調査の結果</w:t>
      </w:r>
      <w:r>
        <w:rPr>
          <w:rFonts w:hint="eastAsia"/>
        </w:rPr>
        <w:t>の考察</w:t>
      </w:r>
    </w:p>
    <w:p w:rsidR="00286FA3" w:rsidRPr="00286FA3" w:rsidRDefault="00286FA3" w:rsidP="00286FA3">
      <w:pPr>
        <w:ind w:left="420" w:hangingChars="200" w:hanging="420"/>
        <w:rPr>
          <w:szCs w:val="21"/>
        </w:rPr>
      </w:pPr>
      <w:r w:rsidRPr="00286FA3">
        <w:rPr>
          <w:rFonts w:hint="eastAsia"/>
          <w:szCs w:val="21"/>
        </w:rPr>
        <w:t>（１）ギャンブル等行動</w:t>
      </w:r>
    </w:p>
    <w:p w:rsidR="00286FA3" w:rsidRPr="00286FA3" w:rsidRDefault="00286FA3" w:rsidP="00B86BF6">
      <w:pPr>
        <w:ind w:left="420" w:hangingChars="200" w:hanging="420"/>
        <w:rPr>
          <w:szCs w:val="21"/>
        </w:rPr>
      </w:pPr>
      <w:r>
        <w:rPr>
          <w:rFonts w:hint="eastAsia"/>
          <w:szCs w:val="21"/>
        </w:rPr>
        <w:t xml:space="preserve">　○</w:t>
      </w:r>
      <w:r w:rsidRPr="00286FA3">
        <w:rPr>
          <w:rFonts w:hint="eastAsia"/>
          <w:szCs w:val="21"/>
        </w:rPr>
        <w:t>生涯で経験した割合が</w:t>
      </w:r>
      <w:r w:rsidRPr="00286FA3">
        <w:rPr>
          <w:szCs w:val="21"/>
        </w:rPr>
        <w:t>71.0％、過去1年間で見ると32.7％が何</w:t>
      </w:r>
      <w:r>
        <w:rPr>
          <w:szCs w:val="21"/>
        </w:rPr>
        <w:t>らかのギャンブル等を経験していた。</w:t>
      </w:r>
      <w:r w:rsidR="00B86BF6" w:rsidRPr="00B86BF6">
        <w:rPr>
          <w:rFonts w:hint="eastAsia"/>
          <w:szCs w:val="21"/>
        </w:rPr>
        <w:t>過去</w:t>
      </w:r>
      <w:r w:rsidR="00B86BF6" w:rsidRPr="00B86BF6">
        <w:rPr>
          <w:szCs w:val="21"/>
        </w:rPr>
        <w:t>1年間に競馬・競輪・競</w:t>
      </w:r>
      <w:r w:rsidR="00B86BF6" w:rsidRPr="00B86BF6">
        <w:rPr>
          <w:rFonts w:hint="eastAsia"/>
          <w:szCs w:val="21"/>
        </w:rPr>
        <w:t>艇・オートレースを経験した者の中では、</w:t>
      </w:r>
      <w:r>
        <w:rPr>
          <w:szCs w:val="21"/>
        </w:rPr>
        <w:t>オンライン購入による利用率が</w:t>
      </w:r>
      <w:r w:rsidRPr="00286FA3">
        <w:rPr>
          <w:rFonts w:hint="eastAsia"/>
          <w:szCs w:val="21"/>
        </w:rPr>
        <w:t>高く、インターネットを介したギャンブル等行動の増加が懸念される。</w:t>
      </w:r>
    </w:p>
    <w:p w:rsidR="00286FA3" w:rsidRPr="00286FA3" w:rsidRDefault="00286FA3" w:rsidP="00286FA3">
      <w:pPr>
        <w:ind w:left="420" w:hangingChars="200" w:hanging="420"/>
        <w:rPr>
          <w:szCs w:val="21"/>
        </w:rPr>
      </w:pPr>
      <w:r>
        <w:rPr>
          <w:rFonts w:hint="eastAsia"/>
          <w:szCs w:val="21"/>
        </w:rPr>
        <w:t xml:space="preserve">　○</w:t>
      </w:r>
      <w:r w:rsidRPr="00286FA3">
        <w:rPr>
          <w:rFonts w:hint="eastAsia"/>
          <w:szCs w:val="21"/>
        </w:rPr>
        <w:t>ギャンブル等の開始年齢・習慣的にギャンブル等をするようになった年齢は、</w:t>
      </w:r>
      <w:r w:rsidRPr="00286FA3">
        <w:rPr>
          <w:szCs w:val="21"/>
        </w:rPr>
        <w:t>18歳と20</w:t>
      </w:r>
      <w:r>
        <w:rPr>
          <w:szCs w:val="21"/>
        </w:rPr>
        <w:t>歳にピークがあった。法律による年齢制限</w:t>
      </w:r>
      <w:r w:rsidRPr="00286FA3">
        <w:rPr>
          <w:rFonts w:hint="eastAsia"/>
          <w:szCs w:val="21"/>
        </w:rPr>
        <w:t>や進学・就労などの生活環境の変化</w:t>
      </w:r>
      <w:r>
        <w:rPr>
          <w:rFonts w:hint="eastAsia"/>
          <w:szCs w:val="21"/>
        </w:rPr>
        <w:t>の影響が考えられる</w:t>
      </w:r>
      <w:r w:rsidRPr="00286FA3">
        <w:rPr>
          <w:rFonts w:hint="eastAsia"/>
          <w:szCs w:val="21"/>
        </w:rPr>
        <w:t>。また、</w:t>
      </w:r>
      <w:r w:rsidRPr="00286FA3">
        <w:rPr>
          <w:szCs w:val="21"/>
        </w:rPr>
        <w:t xml:space="preserve"> 6</w:t>
      </w:r>
      <w:r>
        <w:rPr>
          <w:szCs w:val="21"/>
        </w:rPr>
        <w:t>.1</w:t>
      </w:r>
      <w:r w:rsidRPr="00286FA3">
        <w:rPr>
          <w:szCs w:val="21"/>
        </w:rPr>
        <w:t xml:space="preserve">％ </w:t>
      </w:r>
      <w:r w:rsidRPr="00286FA3">
        <w:rPr>
          <w:szCs w:val="21"/>
        </w:rPr>
        <w:lastRenderedPageBreak/>
        <w:t>が18歳未満で開始しており、子どもへの予防教育や周</w:t>
      </w:r>
      <w:r w:rsidRPr="00286FA3">
        <w:rPr>
          <w:rFonts w:hint="eastAsia"/>
          <w:szCs w:val="21"/>
        </w:rPr>
        <w:t>囲の大人への啓発、子どもがギャンブル等をできない仕組みなどが必要であると思われる。</w:t>
      </w:r>
    </w:p>
    <w:p w:rsidR="00286FA3" w:rsidRPr="00286FA3" w:rsidRDefault="00286FA3" w:rsidP="00286FA3">
      <w:pPr>
        <w:ind w:left="420" w:hangingChars="200" w:hanging="420"/>
        <w:rPr>
          <w:szCs w:val="21"/>
        </w:rPr>
      </w:pPr>
      <w:r>
        <w:rPr>
          <w:rFonts w:hint="eastAsia"/>
          <w:szCs w:val="21"/>
        </w:rPr>
        <w:t xml:space="preserve">　○</w:t>
      </w:r>
      <w:r w:rsidRPr="00286FA3">
        <w:rPr>
          <w:rFonts w:hint="eastAsia"/>
          <w:szCs w:val="21"/>
        </w:rPr>
        <w:t>問題があった際に相談する先として最も多かったのが「家族・友人」</w:t>
      </w:r>
      <w:r w:rsidRPr="00286FA3">
        <w:rPr>
          <w:szCs w:val="21"/>
        </w:rPr>
        <w:t>57.1％であり、相談された家族・友人が適切な対応ができるよ</w:t>
      </w:r>
      <w:r w:rsidRPr="00286FA3">
        <w:rPr>
          <w:rFonts w:hint="eastAsia"/>
          <w:szCs w:val="21"/>
        </w:rPr>
        <w:t>う、依存症の知識や相談できる場所についての啓発が必要と思われる。また、「誰</w:t>
      </w:r>
      <w:r w:rsidR="00B86BF6">
        <w:rPr>
          <w:rFonts w:hint="eastAsia"/>
          <w:szCs w:val="21"/>
        </w:rPr>
        <w:t>（どこ）に</w:t>
      </w:r>
      <w:r w:rsidRPr="00286FA3">
        <w:rPr>
          <w:rFonts w:hint="eastAsia"/>
          <w:szCs w:val="21"/>
        </w:rPr>
        <w:t>も相談しない」が</w:t>
      </w:r>
      <w:r w:rsidRPr="00286FA3">
        <w:rPr>
          <w:szCs w:val="21"/>
        </w:rPr>
        <w:t>17.2％あり、ギャンブル等の</w:t>
      </w:r>
      <w:r w:rsidRPr="00286FA3">
        <w:rPr>
          <w:rFonts w:hint="eastAsia"/>
          <w:szCs w:val="21"/>
        </w:rPr>
        <w:t>問題には相談が大切であることなどの正しい知識の普及啓発や相談窓口の周知が必要であると考える。</w:t>
      </w:r>
    </w:p>
    <w:p w:rsidR="00286FA3" w:rsidRPr="00286FA3" w:rsidRDefault="00286FA3" w:rsidP="00286FA3">
      <w:pPr>
        <w:ind w:left="420" w:hangingChars="200" w:hanging="420"/>
        <w:rPr>
          <w:szCs w:val="21"/>
        </w:rPr>
      </w:pPr>
    </w:p>
    <w:p w:rsidR="00286FA3" w:rsidRPr="00286FA3" w:rsidRDefault="00286FA3" w:rsidP="00286FA3">
      <w:pPr>
        <w:ind w:left="420" w:hangingChars="200" w:hanging="420"/>
        <w:rPr>
          <w:szCs w:val="21"/>
        </w:rPr>
      </w:pPr>
      <w:r w:rsidRPr="00286FA3">
        <w:rPr>
          <w:rFonts w:hint="eastAsia"/>
          <w:szCs w:val="21"/>
        </w:rPr>
        <w:t>（２）「ギャンブル等依存が疑われる者」の割合の推計</w:t>
      </w:r>
    </w:p>
    <w:p w:rsidR="00286FA3" w:rsidRPr="00286FA3" w:rsidRDefault="00286FA3" w:rsidP="00286FA3">
      <w:pPr>
        <w:ind w:left="420" w:hangingChars="200" w:hanging="420"/>
        <w:rPr>
          <w:szCs w:val="21"/>
        </w:rPr>
      </w:pPr>
      <w:r>
        <w:rPr>
          <w:rFonts w:hint="eastAsia"/>
          <w:szCs w:val="21"/>
        </w:rPr>
        <w:t xml:space="preserve">　○</w:t>
      </w:r>
      <w:r w:rsidR="007040C5" w:rsidRPr="007040C5">
        <w:rPr>
          <w:szCs w:val="21"/>
        </w:rPr>
        <w:t>SOGS 5点以上で過去1年間に「ギャンブル等依存が疑われる者」は1.3%（信頼区間：0.8%～2.0</w:t>
      </w:r>
      <w:r w:rsidR="007040C5">
        <w:rPr>
          <w:szCs w:val="21"/>
        </w:rPr>
        <w:t>％）と推計された</w:t>
      </w:r>
      <w:r w:rsidRPr="00286FA3">
        <w:rPr>
          <w:szCs w:val="21"/>
        </w:rPr>
        <w:t>。ただし、本調査で得られた回答数</w:t>
      </w:r>
      <w:r w:rsidRPr="00286FA3">
        <w:rPr>
          <w:rFonts w:hint="eastAsia"/>
          <w:szCs w:val="21"/>
        </w:rPr>
        <w:t>が少ないため、これをもって大阪府の実態とすることは難しく、また、今後の調査で大きく変動する可能性があることを踏まえる必要がある。</w:t>
      </w:r>
    </w:p>
    <w:p w:rsidR="00286FA3" w:rsidRPr="00286FA3" w:rsidRDefault="00286FA3" w:rsidP="00286FA3">
      <w:pPr>
        <w:ind w:left="420" w:hangingChars="200" w:hanging="420"/>
        <w:rPr>
          <w:szCs w:val="21"/>
        </w:rPr>
      </w:pPr>
    </w:p>
    <w:p w:rsidR="00286FA3" w:rsidRPr="00286FA3" w:rsidRDefault="00286FA3" w:rsidP="00286FA3">
      <w:pPr>
        <w:ind w:left="420" w:hangingChars="200" w:hanging="420"/>
        <w:rPr>
          <w:szCs w:val="21"/>
        </w:rPr>
      </w:pPr>
      <w:r w:rsidRPr="00286FA3">
        <w:rPr>
          <w:rFonts w:hint="eastAsia"/>
          <w:szCs w:val="21"/>
        </w:rPr>
        <w:t>（３）「ギャンブル等依存が疑われる者」のギャンブル等行動</w:t>
      </w:r>
    </w:p>
    <w:p w:rsidR="00286FA3" w:rsidRPr="00286FA3" w:rsidRDefault="00286FA3" w:rsidP="00286FA3">
      <w:pPr>
        <w:ind w:left="420" w:hangingChars="200" w:hanging="420"/>
        <w:rPr>
          <w:szCs w:val="21"/>
        </w:rPr>
      </w:pPr>
      <w:r>
        <w:rPr>
          <w:rFonts w:hint="eastAsia"/>
          <w:szCs w:val="21"/>
        </w:rPr>
        <w:t xml:space="preserve">　○</w:t>
      </w:r>
      <w:r w:rsidRPr="00286FA3">
        <w:rPr>
          <w:rFonts w:hint="eastAsia"/>
          <w:szCs w:val="21"/>
        </w:rPr>
        <w:t>過去</w:t>
      </w:r>
      <w:r w:rsidRPr="00286FA3">
        <w:rPr>
          <w:szCs w:val="21"/>
        </w:rPr>
        <w:t>1年間の1</w:t>
      </w:r>
      <w:r w:rsidR="00D05E1F">
        <w:rPr>
          <w:szCs w:val="21"/>
        </w:rPr>
        <w:t>か月あたり</w:t>
      </w:r>
      <w:r w:rsidRPr="00286FA3">
        <w:rPr>
          <w:szCs w:val="21"/>
        </w:rPr>
        <w:t>ギャンブル等に使った金額は、中央値が5万円であり、全体の中央値である9,000円よりも高く</w:t>
      </w:r>
      <w:r w:rsidRPr="00286FA3">
        <w:rPr>
          <w:rFonts w:hint="eastAsia"/>
          <w:szCs w:val="21"/>
        </w:rPr>
        <w:t>なった。今回は回答数が少ないため関連性が確認できなかった点</w:t>
      </w:r>
      <w:r>
        <w:rPr>
          <w:rFonts w:hint="eastAsia"/>
          <w:szCs w:val="21"/>
        </w:rPr>
        <w:t>（婚姻状況、年収、開始年齢など）についても、今後検討すること</w:t>
      </w:r>
      <w:r w:rsidRPr="00286FA3">
        <w:rPr>
          <w:rFonts w:hint="eastAsia"/>
          <w:szCs w:val="21"/>
        </w:rPr>
        <w:t>が重要であると考える。</w:t>
      </w:r>
    </w:p>
    <w:p w:rsidR="00286FA3" w:rsidRPr="00286FA3" w:rsidRDefault="00286FA3" w:rsidP="00286FA3">
      <w:pPr>
        <w:ind w:left="420" w:hangingChars="200" w:hanging="420"/>
        <w:rPr>
          <w:szCs w:val="21"/>
        </w:rPr>
      </w:pPr>
    </w:p>
    <w:p w:rsidR="00286FA3" w:rsidRPr="00286FA3" w:rsidRDefault="00286FA3" w:rsidP="00286FA3">
      <w:pPr>
        <w:ind w:left="420" w:hangingChars="200" w:hanging="420"/>
        <w:rPr>
          <w:szCs w:val="21"/>
        </w:rPr>
      </w:pPr>
      <w:r w:rsidRPr="00286FA3">
        <w:rPr>
          <w:rFonts w:hint="eastAsia"/>
          <w:szCs w:val="21"/>
        </w:rPr>
        <w:t>（４）「ギャンブル等依存が疑われる者」のギャンブル等関連問題</w:t>
      </w:r>
    </w:p>
    <w:p w:rsidR="00286FA3" w:rsidRPr="00286FA3" w:rsidRDefault="00286FA3" w:rsidP="00987F53">
      <w:pPr>
        <w:ind w:left="420" w:hangingChars="200" w:hanging="420"/>
        <w:rPr>
          <w:szCs w:val="21"/>
        </w:rPr>
      </w:pPr>
      <w:r>
        <w:rPr>
          <w:rFonts w:hint="eastAsia"/>
          <w:szCs w:val="21"/>
        </w:rPr>
        <w:t xml:space="preserve">　○</w:t>
      </w:r>
      <w:r w:rsidRPr="00286FA3">
        <w:rPr>
          <w:rFonts w:hint="eastAsia"/>
          <w:szCs w:val="21"/>
        </w:rPr>
        <w:t>「ギャンブル等依存が疑われる者」について、「重度のうつ・不安障害の疑い」「希死念慮」「喫煙」で関連性が認められた。うつや希死念慮、クロスアディクションなどとの関連について啓発するとともに、自殺対策等と連動して依存症対策を進めていくことが必要であると考える。</w:t>
      </w:r>
      <w:r w:rsidRPr="00286FA3">
        <w:rPr>
          <w:szCs w:val="21"/>
        </w:rPr>
        <w:t xml:space="preserve"> 　</w:t>
      </w:r>
    </w:p>
    <w:p w:rsidR="00286FA3" w:rsidRPr="00286FA3" w:rsidRDefault="00987F53" w:rsidP="00987F53">
      <w:pPr>
        <w:ind w:left="420" w:hangingChars="200" w:hanging="420"/>
        <w:rPr>
          <w:szCs w:val="21"/>
        </w:rPr>
      </w:pPr>
      <w:r>
        <w:rPr>
          <w:rFonts w:hint="eastAsia"/>
          <w:szCs w:val="21"/>
        </w:rPr>
        <w:t xml:space="preserve">　〇</w:t>
      </w:r>
      <w:r w:rsidR="00286FA3" w:rsidRPr="00286FA3">
        <w:rPr>
          <w:rFonts w:hint="eastAsia"/>
          <w:szCs w:val="21"/>
        </w:rPr>
        <w:t>「ギャンブル等依存が疑われる者」について、小児期の逆境的な体験や育児の負担感との関連は確認できなかったが、回答者全体で少なからず認められており、府民の精神保健のためには、小児期逆境体験による影響について、啓発や相談対応等を進めていくとともに、子育てへの負担感とこころの健康との関連について検討することが必要と思われる。</w:t>
      </w:r>
    </w:p>
    <w:p w:rsidR="00286FA3" w:rsidRPr="00286FA3" w:rsidRDefault="00286FA3" w:rsidP="00286FA3">
      <w:pPr>
        <w:ind w:left="420" w:hangingChars="200" w:hanging="420"/>
        <w:rPr>
          <w:szCs w:val="21"/>
        </w:rPr>
      </w:pPr>
    </w:p>
    <w:p w:rsidR="00286FA3" w:rsidRPr="00286FA3" w:rsidRDefault="00286FA3" w:rsidP="00286FA3">
      <w:pPr>
        <w:ind w:left="420" w:hangingChars="200" w:hanging="420"/>
        <w:rPr>
          <w:szCs w:val="21"/>
        </w:rPr>
      </w:pPr>
      <w:r w:rsidRPr="00286FA3">
        <w:rPr>
          <w:rFonts w:hint="eastAsia"/>
          <w:szCs w:val="21"/>
        </w:rPr>
        <w:t>（５）ギャンブル等依存症対策とギャンブル等依存症に関する認識</w:t>
      </w:r>
    </w:p>
    <w:p w:rsidR="00286FA3" w:rsidRPr="00286FA3" w:rsidRDefault="00987F53" w:rsidP="00286FA3">
      <w:pPr>
        <w:ind w:left="420" w:hangingChars="200" w:hanging="420"/>
        <w:rPr>
          <w:szCs w:val="21"/>
        </w:rPr>
      </w:pPr>
      <w:r>
        <w:rPr>
          <w:rFonts w:hint="eastAsia"/>
          <w:szCs w:val="21"/>
        </w:rPr>
        <w:t xml:space="preserve">　○</w:t>
      </w:r>
      <w:r w:rsidR="00286FA3" w:rsidRPr="00286FA3">
        <w:rPr>
          <w:rFonts w:hint="eastAsia"/>
          <w:szCs w:val="21"/>
        </w:rPr>
        <w:t>「申請による入店制限」などの</w:t>
      </w:r>
      <w:r w:rsidR="00A15416">
        <w:rPr>
          <w:rFonts w:hint="eastAsia"/>
          <w:szCs w:val="21"/>
        </w:rPr>
        <w:t>ギャンブル等依存症対策の認知度は</w:t>
      </w:r>
      <w:r w:rsidR="00286FA3" w:rsidRPr="00286FA3">
        <w:rPr>
          <w:rFonts w:hint="eastAsia"/>
          <w:szCs w:val="21"/>
        </w:rPr>
        <w:t>非常に低い結果となったため、対策の周知が必要である。</w:t>
      </w:r>
    </w:p>
    <w:p w:rsidR="00286FA3" w:rsidRPr="00286FA3" w:rsidRDefault="00987F53" w:rsidP="00987F53">
      <w:pPr>
        <w:ind w:left="420" w:hangingChars="200" w:hanging="420"/>
        <w:rPr>
          <w:szCs w:val="21"/>
        </w:rPr>
      </w:pPr>
      <w:r>
        <w:rPr>
          <w:rFonts w:hint="eastAsia"/>
          <w:szCs w:val="21"/>
        </w:rPr>
        <w:t xml:space="preserve">　○</w:t>
      </w:r>
      <w:r w:rsidR="00286FA3" w:rsidRPr="00286FA3">
        <w:rPr>
          <w:rFonts w:hint="eastAsia"/>
          <w:szCs w:val="21"/>
        </w:rPr>
        <w:t>ギャンブル等依存症が「本人の責任だと思う」割合は</w:t>
      </w:r>
      <w:r w:rsidR="00286FA3" w:rsidRPr="00286FA3">
        <w:rPr>
          <w:szCs w:val="21"/>
        </w:rPr>
        <w:t>75.0％</w:t>
      </w:r>
      <w:r w:rsidR="00A15416">
        <w:rPr>
          <w:rFonts w:hint="eastAsia"/>
          <w:szCs w:val="21"/>
        </w:rPr>
        <w:t>で</w:t>
      </w:r>
      <w:r w:rsidR="00A15416">
        <w:rPr>
          <w:szCs w:val="21"/>
        </w:rPr>
        <w:t>、他の精神疾患や身体疾患</w:t>
      </w:r>
      <w:r w:rsidR="00A15416">
        <w:rPr>
          <w:rFonts w:hint="eastAsia"/>
          <w:szCs w:val="21"/>
        </w:rPr>
        <w:t>と</w:t>
      </w:r>
      <w:r w:rsidR="00A15416">
        <w:rPr>
          <w:szCs w:val="21"/>
        </w:rPr>
        <w:t>比べて</w:t>
      </w:r>
      <w:r w:rsidR="00286FA3" w:rsidRPr="00286FA3">
        <w:rPr>
          <w:szCs w:val="21"/>
        </w:rPr>
        <w:t>高かった。本人や家族が治</w:t>
      </w:r>
      <w:r w:rsidR="00286FA3" w:rsidRPr="00286FA3">
        <w:rPr>
          <w:rFonts w:hint="eastAsia"/>
          <w:szCs w:val="21"/>
        </w:rPr>
        <w:t>療や相談につながるためには、本人の責任ではなく、「意志や性格の問題ではなく、誰もがなり得る病気であること」「誰かに相談することやサポートを得ることが大切である」等の啓発をさらに進めることが必要であると考える。</w:t>
      </w:r>
    </w:p>
    <w:sectPr w:rsidR="00286FA3" w:rsidRPr="00286FA3" w:rsidSect="00987F5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E1" w:rsidRDefault="00322FE1" w:rsidP="00322FE1">
      <w:r>
        <w:separator/>
      </w:r>
    </w:p>
  </w:endnote>
  <w:endnote w:type="continuationSeparator" w:id="0">
    <w:p w:rsidR="00322FE1" w:rsidRDefault="00322FE1" w:rsidP="0032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E1" w:rsidRDefault="00322FE1" w:rsidP="00322FE1">
      <w:r>
        <w:separator/>
      </w:r>
    </w:p>
  </w:footnote>
  <w:footnote w:type="continuationSeparator" w:id="0">
    <w:p w:rsidR="00322FE1" w:rsidRDefault="00322FE1" w:rsidP="00322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95CDB"/>
    <w:multiLevelType w:val="hybridMultilevel"/>
    <w:tmpl w:val="0F489714"/>
    <w:lvl w:ilvl="0" w:tplc="6C4C3DC2">
      <w:start w:val="1"/>
      <w:numFmt w:val="bullet"/>
      <w:lvlText w:val="◯"/>
      <w:lvlJc w:val="left"/>
      <w:pPr>
        <w:tabs>
          <w:tab w:val="num" w:pos="720"/>
        </w:tabs>
        <w:ind w:left="720" w:hanging="360"/>
      </w:pPr>
      <w:rPr>
        <w:rFonts w:ascii="UD デジタル 教科書体 NP-R" w:hAnsi="UD デジタル 教科書体 NP-R" w:hint="default"/>
      </w:rPr>
    </w:lvl>
    <w:lvl w:ilvl="1" w:tplc="A066EC2A" w:tentative="1">
      <w:start w:val="1"/>
      <w:numFmt w:val="bullet"/>
      <w:lvlText w:val="◯"/>
      <w:lvlJc w:val="left"/>
      <w:pPr>
        <w:tabs>
          <w:tab w:val="num" w:pos="1440"/>
        </w:tabs>
        <w:ind w:left="1440" w:hanging="360"/>
      </w:pPr>
      <w:rPr>
        <w:rFonts w:ascii="UD デジタル 教科書体 NP-R" w:hAnsi="UD デジタル 教科書体 NP-R" w:hint="default"/>
      </w:rPr>
    </w:lvl>
    <w:lvl w:ilvl="2" w:tplc="CC78AE2C" w:tentative="1">
      <w:start w:val="1"/>
      <w:numFmt w:val="bullet"/>
      <w:lvlText w:val="◯"/>
      <w:lvlJc w:val="left"/>
      <w:pPr>
        <w:tabs>
          <w:tab w:val="num" w:pos="2160"/>
        </w:tabs>
        <w:ind w:left="2160" w:hanging="360"/>
      </w:pPr>
      <w:rPr>
        <w:rFonts w:ascii="UD デジタル 教科書体 NP-R" w:hAnsi="UD デジタル 教科書体 NP-R" w:hint="default"/>
      </w:rPr>
    </w:lvl>
    <w:lvl w:ilvl="3" w:tplc="66BC9CB2" w:tentative="1">
      <w:start w:val="1"/>
      <w:numFmt w:val="bullet"/>
      <w:lvlText w:val="◯"/>
      <w:lvlJc w:val="left"/>
      <w:pPr>
        <w:tabs>
          <w:tab w:val="num" w:pos="2880"/>
        </w:tabs>
        <w:ind w:left="2880" w:hanging="360"/>
      </w:pPr>
      <w:rPr>
        <w:rFonts w:ascii="UD デジタル 教科書体 NP-R" w:hAnsi="UD デジタル 教科書体 NP-R" w:hint="default"/>
      </w:rPr>
    </w:lvl>
    <w:lvl w:ilvl="4" w:tplc="0964ADF6" w:tentative="1">
      <w:start w:val="1"/>
      <w:numFmt w:val="bullet"/>
      <w:lvlText w:val="◯"/>
      <w:lvlJc w:val="left"/>
      <w:pPr>
        <w:tabs>
          <w:tab w:val="num" w:pos="3600"/>
        </w:tabs>
        <w:ind w:left="3600" w:hanging="360"/>
      </w:pPr>
      <w:rPr>
        <w:rFonts w:ascii="UD デジタル 教科書体 NP-R" w:hAnsi="UD デジタル 教科書体 NP-R" w:hint="default"/>
      </w:rPr>
    </w:lvl>
    <w:lvl w:ilvl="5" w:tplc="3C26D086" w:tentative="1">
      <w:start w:val="1"/>
      <w:numFmt w:val="bullet"/>
      <w:lvlText w:val="◯"/>
      <w:lvlJc w:val="left"/>
      <w:pPr>
        <w:tabs>
          <w:tab w:val="num" w:pos="4320"/>
        </w:tabs>
        <w:ind w:left="4320" w:hanging="360"/>
      </w:pPr>
      <w:rPr>
        <w:rFonts w:ascii="UD デジタル 教科書体 NP-R" w:hAnsi="UD デジタル 教科書体 NP-R" w:hint="default"/>
      </w:rPr>
    </w:lvl>
    <w:lvl w:ilvl="6" w:tplc="345E7F02" w:tentative="1">
      <w:start w:val="1"/>
      <w:numFmt w:val="bullet"/>
      <w:lvlText w:val="◯"/>
      <w:lvlJc w:val="left"/>
      <w:pPr>
        <w:tabs>
          <w:tab w:val="num" w:pos="5040"/>
        </w:tabs>
        <w:ind w:left="5040" w:hanging="360"/>
      </w:pPr>
      <w:rPr>
        <w:rFonts w:ascii="UD デジタル 教科書体 NP-R" w:hAnsi="UD デジタル 教科書体 NP-R" w:hint="default"/>
      </w:rPr>
    </w:lvl>
    <w:lvl w:ilvl="7" w:tplc="0406A250" w:tentative="1">
      <w:start w:val="1"/>
      <w:numFmt w:val="bullet"/>
      <w:lvlText w:val="◯"/>
      <w:lvlJc w:val="left"/>
      <w:pPr>
        <w:tabs>
          <w:tab w:val="num" w:pos="5760"/>
        </w:tabs>
        <w:ind w:left="5760" w:hanging="360"/>
      </w:pPr>
      <w:rPr>
        <w:rFonts w:ascii="UD デジタル 教科書体 NP-R" w:hAnsi="UD デジタル 教科書体 NP-R" w:hint="default"/>
      </w:rPr>
    </w:lvl>
    <w:lvl w:ilvl="8" w:tplc="5A640CF8" w:tentative="1">
      <w:start w:val="1"/>
      <w:numFmt w:val="bullet"/>
      <w:lvlText w:val="◯"/>
      <w:lvlJc w:val="left"/>
      <w:pPr>
        <w:tabs>
          <w:tab w:val="num" w:pos="6480"/>
        </w:tabs>
        <w:ind w:left="6480" w:hanging="360"/>
      </w:pPr>
      <w:rPr>
        <w:rFonts w:ascii="UD デジタル 教科書体 NP-R" w:hAnsi="UD デジタル 教科書体 NP-R" w:hint="default"/>
      </w:rPr>
    </w:lvl>
  </w:abstractNum>
  <w:abstractNum w:abstractNumId="1" w15:restartNumberingAfterBreak="0">
    <w:nsid w:val="27661CF7"/>
    <w:multiLevelType w:val="hybridMultilevel"/>
    <w:tmpl w:val="A954982A"/>
    <w:lvl w:ilvl="0" w:tplc="12909CA6">
      <w:start w:val="1"/>
      <w:numFmt w:val="bullet"/>
      <w:lvlText w:val="◯"/>
      <w:lvlJc w:val="left"/>
      <w:pPr>
        <w:tabs>
          <w:tab w:val="num" w:pos="720"/>
        </w:tabs>
        <w:ind w:left="720" w:hanging="360"/>
      </w:pPr>
      <w:rPr>
        <w:rFonts w:ascii="UD デジタル 教科書体 NP-R" w:hAnsi="UD デジタル 教科書体 NP-R" w:hint="default"/>
      </w:rPr>
    </w:lvl>
    <w:lvl w:ilvl="1" w:tplc="0B287A7C" w:tentative="1">
      <w:start w:val="1"/>
      <w:numFmt w:val="bullet"/>
      <w:lvlText w:val="◯"/>
      <w:lvlJc w:val="left"/>
      <w:pPr>
        <w:tabs>
          <w:tab w:val="num" w:pos="1440"/>
        </w:tabs>
        <w:ind w:left="1440" w:hanging="360"/>
      </w:pPr>
      <w:rPr>
        <w:rFonts w:ascii="UD デジタル 教科書体 NP-R" w:hAnsi="UD デジタル 教科書体 NP-R" w:hint="default"/>
      </w:rPr>
    </w:lvl>
    <w:lvl w:ilvl="2" w:tplc="50FAEE6E" w:tentative="1">
      <w:start w:val="1"/>
      <w:numFmt w:val="bullet"/>
      <w:lvlText w:val="◯"/>
      <w:lvlJc w:val="left"/>
      <w:pPr>
        <w:tabs>
          <w:tab w:val="num" w:pos="2160"/>
        </w:tabs>
        <w:ind w:left="2160" w:hanging="360"/>
      </w:pPr>
      <w:rPr>
        <w:rFonts w:ascii="UD デジタル 教科書体 NP-R" w:hAnsi="UD デジタル 教科書体 NP-R" w:hint="default"/>
      </w:rPr>
    </w:lvl>
    <w:lvl w:ilvl="3" w:tplc="7E12FEDA" w:tentative="1">
      <w:start w:val="1"/>
      <w:numFmt w:val="bullet"/>
      <w:lvlText w:val="◯"/>
      <w:lvlJc w:val="left"/>
      <w:pPr>
        <w:tabs>
          <w:tab w:val="num" w:pos="2880"/>
        </w:tabs>
        <w:ind w:left="2880" w:hanging="360"/>
      </w:pPr>
      <w:rPr>
        <w:rFonts w:ascii="UD デジタル 教科書体 NP-R" w:hAnsi="UD デジタル 教科書体 NP-R" w:hint="default"/>
      </w:rPr>
    </w:lvl>
    <w:lvl w:ilvl="4" w:tplc="BD0274CA" w:tentative="1">
      <w:start w:val="1"/>
      <w:numFmt w:val="bullet"/>
      <w:lvlText w:val="◯"/>
      <w:lvlJc w:val="left"/>
      <w:pPr>
        <w:tabs>
          <w:tab w:val="num" w:pos="3600"/>
        </w:tabs>
        <w:ind w:left="3600" w:hanging="360"/>
      </w:pPr>
      <w:rPr>
        <w:rFonts w:ascii="UD デジタル 教科書体 NP-R" w:hAnsi="UD デジタル 教科書体 NP-R" w:hint="default"/>
      </w:rPr>
    </w:lvl>
    <w:lvl w:ilvl="5" w:tplc="E09AFCB8" w:tentative="1">
      <w:start w:val="1"/>
      <w:numFmt w:val="bullet"/>
      <w:lvlText w:val="◯"/>
      <w:lvlJc w:val="left"/>
      <w:pPr>
        <w:tabs>
          <w:tab w:val="num" w:pos="4320"/>
        </w:tabs>
        <w:ind w:left="4320" w:hanging="360"/>
      </w:pPr>
      <w:rPr>
        <w:rFonts w:ascii="UD デジタル 教科書体 NP-R" w:hAnsi="UD デジタル 教科書体 NP-R" w:hint="default"/>
      </w:rPr>
    </w:lvl>
    <w:lvl w:ilvl="6" w:tplc="B18CBB24" w:tentative="1">
      <w:start w:val="1"/>
      <w:numFmt w:val="bullet"/>
      <w:lvlText w:val="◯"/>
      <w:lvlJc w:val="left"/>
      <w:pPr>
        <w:tabs>
          <w:tab w:val="num" w:pos="5040"/>
        </w:tabs>
        <w:ind w:left="5040" w:hanging="360"/>
      </w:pPr>
      <w:rPr>
        <w:rFonts w:ascii="UD デジタル 教科書体 NP-R" w:hAnsi="UD デジタル 教科書体 NP-R" w:hint="default"/>
      </w:rPr>
    </w:lvl>
    <w:lvl w:ilvl="7" w:tplc="EB2A7304" w:tentative="1">
      <w:start w:val="1"/>
      <w:numFmt w:val="bullet"/>
      <w:lvlText w:val="◯"/>
      <w:lvlJc w:val="left"/>
      <w:pPr>
        <w:tabs>
          <w:tab w:val="num" w:pos="5760"/>
        </w:tabs>
        <w:ind w:left="5760" w:hanging="360"/>
      </w:pPr>
      <w:rPr>
        <w:rFonts w:ascii="UD デジタル 教科書体 NP-R" w:hAnsi="UD デジタル 教科書体 NP-R" w:hint="default"/>
      </w:rPr>
    </w:lvl>
    <w:lvl w:ilvl="8" w:tplc="F14A5B78" w:tentative="1">
      <w:start w:val="1"/>
      <w:numFmt w:val="bullet"/>
      <w:lvlText w:val="◯"/>
      <w:lvlJc w:val="left"/>
      <w:pPr>
        <w:tabs>
          <w:tab w:val="num" w:pos="6480"/>
        </w:tabs>
        <w:ind w:left="6480" w:hanging="360"/>
      </w:pPr>
      <w:rPr>
        <w:rFonts w:ascii="UD デジタル 教科書体 NP-R" w:hAnsi="UD デジタル 教科書体 NP-R" w:hint="default"/>
      </w:rPr>
    </w:lvl>
  </w:abstractNum>
  <w:abstractNum w:abstractNumId="2" w15:restartNumberingAfterBreak="0">
    <w:nsid w:val="31E13FB2"/>
    <w:multiLevelType w:val="hybridMultilevel"/>
    <w:tmpl w:val="A410AA4C"/>
    <w:lvl w:ilvl="0" w:tplc="CC3CD55E">
      <w:start w:val="1"/>
      <w:numFmt w:val="bullet"/>
      <w:lvlText w:val="◯"/>
      <w:lvlJc w:val="left"/>
      <w:pPr>
        <w:tabs>
          <w:tab w:val="num" w:pos="720"/>
        </w:tabs>
        <w:ind w:left="720" w:hanging="360"/>
      </w:pPr>
      <w:rPr>
        <w:rFonts w:ascii="UD デジタル 教科書体 NP-R" w:hAnsi="UD デジタル 教科書体 NP-R" w:hint="default"/>
      </w:rPr>
    </w:lvl>
    <w:lvl w:ilvl="1" w:tplc="27FA2A3E" w:tentative="1">
      <w:start w:val="1"/>
      <w:numFmt w:val="bullet"/>
      <w:lvlText w:val="◯"/>
      <w:lvlJc w:val="left"/>
      <w:pPr>
        <w:tabs>
          <w:tab w:val="num" w:pos="1440"/>
        </w:tabs>
        <w:ind w:left="1440" w:hanging="360"/>
      </w:pPr>
      <w:rPr>
        <w:rFonts w:ascii="UD デジタル 教科書体 NP-R" w:hAnsi="UD デジタル 教科書体 NP-R" w:hint="default"/>
      </w:rPr>
    </w:lvl>
    <w:lvl w:ilvl="2" w:tplc="DD849928" w:tentative="1">
      <w:start w:val="1"/>
      <w:numFmt w:val="bullet"/>
      <w:lvlText w:val="◯"/>
      <w:lvlJc w:val="left"/>
      <w:pPr>
        <w:tabs>
          <w:tab w:val="num" w:pos="2160"/>
        </w:tabs>
        <w:ind w:left="2160" w:hanging="360"/>
      </w:pPr>
      <w:rPr>
        <w:rFonts w:ascii="UD デジタル 教科書体 NP-R" w:hAnsi="UD デジタル 教科書体 NP-R" w:hint="default"/>
      </w:rPr>
    </w:lvl>
    <w:lvl w:ilvl="3" w:tplc="0DEA10CE" w:tentative="1">
      <w:start w:val="1"/>
      <w:numFmt w:val="bullet"/>
      <w:lvlText w:val="◯"/>
      <w:lvlJc w:val="left"/>
      <w:pPr>
        <w:tabs>
          <w:tab w:val="num" w:pos="2880"/>
        </w:tabs>
        <w:ind w:left="2880" w:hanging="360"/>
      </w:pPr>
      <w:rPr>
        <w:rFonts w:ascii="UD デジタル 教科書体 NP-R" w:hAnsi="UD デジタル 教科書体 NP-R" w:hint="default"/>
      </w:rPr>
    </w:lvl>
    <w:lvl w:ilvl="4" w:tplc="0E3A1890" w:tentative="1">
      <w:start w:val="1"/>
      <w:numFmt w:val="bullet"/>
      <w:lvlText w:val="◯"/>
      <w:lvlJc w:val="left"/>
      <w:pPr>
        <w:tabs>
          <w:tab w:val="num" w:pos="3600"/>
        </w:tabs>
        <w:ind w:left="3600" w:hanging="360"/>
      </w:pPr>
      <w:rPr>
        <w:rFonts w:ascii="UD デジタル 教科書体 NP-R" w:hAnsi="UD デジタル 教科書体 NP-R" w:hint="default"/>
      </w:rPr>
    </w:lvl>
    <w:lvl w:ilvl="5" w:tplc="9E22296A" w:tentative="1">
      <w:start w:val="1"/>
      <w:numFmt w:val="bullet"/>
      <w:lvlText w:val="◯"/>
      <w:lvlJc w:val="left"/>
      <w:pPr>
        <w:tabs>
          <w:tab w:val="num" w:pos="4320"/>
        </w:tabs>
        <w:ind w:left="4320" w:hanging="360"/>
      </w:pPr>
      <w:rPr>
        <w:rFonts w:ascii="UD デジタル 教科書体 NP-R" w:hAnsi="UD デジタル 教科書体 NP-R" w:hint="default"/>
      </w:rPr>
    </w:lvl>
    <w:lvl w:ilvl="6" w:tplc="55DC2BEC" w:tentative="1">
      <w:start w:val="1"/>
      <w:numFmt w:val="bullet"/>
      <w:lvlText w:val="◯"/>
      <w:lvlJc w:val="left"/>
      <w:pPr>
        <w:tabs>
          <w:tab w:val="num" w:pos="5040"/>
        </w:tabs>
        <w:ind w:left="5040" w:hanging="360"/>
      </w:pPr>
      <w:rPr>
        <w:rFonts w:ascii="UD デジタル 教科書体 NP-R" w:hAnsi="UD デジタル 教科書体 NP-R" w:hint="default"/>
      </w:rPr>
    </w:lvl>
    <w:lvl w:ilvl="7" w:tplc="758C0104" w:tentative="1">
      <w:start w:val="1"/>
      <w:numFmt w:val="bullet"/>
      <w:lvlText w:val="◯"/>
      <w:lvlJc w:val="left"/>
      <w:pPr>
        <w:tabs>
          <w:tab w:val="num" w:pos="5760"/>
        </w:tabs>
        <w:ind w:left="5760" w:hanging="360"/>
      </w:pPr>
      <w:rPr>
        <w:rFonts w:ascii="UD デジタル 教科書体 NP-R" w:hAnsi="UD デジタル 教科書体 NP-R" w:hint="default"/>
      </w:rPr>
    </w:lvl>
    <w:lvl w:ilvl="8" w:tplc="31329744" w:tentative="1">
      <w:start w:val="1"/>
      <w:numFmt w:val="bullet"/>
      <w:lvlText w:val="◯"/>
      <w:lvlJc w:val="left"/>
      <w:pPr>
        <w:tabs>
          <w:tab w:val="num" w:pos="6480"/>
        </w:tabs>
        <w:ind w:left="6480" w:hanging="360"/>
      </w:pPr>
      <w:rPr>
        <w:rFonts w:ascii="UD デジタル 教科書体 NP-R" w:hAnsi="UD デジタル 教科書体 NP-R" w:hint="default"/>
      </w:rPr>
    </w:lvl>
  </w:abstractNum>
  <w:abstractNum w:abstractNumId="3" w15:restartNumberingAfterBreak="0">
    <w:nsid w:val="4499623C"/>
    <w:multiLevelType w:val="hybridMultilevel"/>
    <w:tmpl w:val="CEE49240"/>
    <w:lvl w:ilvl="0" w:tplc="4CD87856">
      <w:start w:val="1"/>
      <w:numFmt w:val="bullet"/>
      <w:lvlText w:val="◯"/>
      <w:lvlJc w:val="left"/>
      <w:pPr>
        <w:tabs>
          <w:tab w:val="num" w:pos="720"/>
        </w:tabs>
        <w:ind w:left="720" w:hanging="360"/>
      </w:pPr>
      <w:rPr>
        <w:rFonts w:ascii="UD デジタル 教科書体 NP-R" w:hAnsi="UD デジタル 教科書体 NP-R" w:hint="default"/>
      </w:rPr>
    </w:lvl>
    <w:lvl w:ilvl="1" w:tplc="FE6C326C" w:tentative="1">
      <w:start w:val="1"/>
      <w:numFmt w:val="bullet"/>
      <w:lvlText w:val="◯"/>
      <w:lvlJc w:val="left"/>
      <w:pPr>
        <w:tabs>
          <w:tab w:val="num" w:pos="1440"/>
        </w:tabs>
        <w:ind w:left="1440" w:hanging="360"/>
      </w:pPr>
      <w:rPr>
        <w:rFonts w:ascii="UD デジタル 教科書体 NP-R" w:hAnsi="UD デジタル 教科書体 NP-R" w:hint="default"/>
      </w:rPr>
    </w:lvl>
    <w:lvl w:ilvl="2" w:tplc="D4B2594E" w:tentative="1">
      <w:start w:val="1"/>
      <w:numFmt w:val="bullet"/>
      <w:lvlText w:val="◯"/>
      <w:lvlJc w:val="left"/>
      <w:pPr>
        <w:tabs>
          <w:tab w:val="num" w:pos="2160"/>
        </w:tabs>
        <w:ind w:left="2160" w:hanging="360"/>
      </w:pPr>
      <w:rPr>
        <w:rFonts w:ascii="UD デジタル 教科書体 NP-R" w:hAnsi="UD デジタル 教科書体 NP-R" w:hint="default"/>
      </w:rPr>
    </w:lvl>
    <w:lvl w:ilvl="3" w:tplc="93A47882" w:tentative="1">
      <w:start w:val="1"/>
      <w:numFmt w:val="bullet"/>
      <w:lvlText w:val="◯"/>
      <w:lvlJc w:val="left"/>
      <w:pPr>
        <w:tabs>
          <w:tab w:val="num" w:pos="2880"/>
        </w:tabs>
        <w:ind w:left="2880" w:hanging="360"/>
      </w:pPr>
      <w:rPr>
        <w:rFonts w:ascii="UD デジタル 教科書体 NP-R" w:hAnsi="UD デジタル 教科書体 NP-R" w:hint="default"/>
      </w:rPr>
    </w:lvl>
    <w:lvl w:ilvl="4" w:tplc="839EE406" w:tentative="1">
      <w:start w:val="1"/>
      <w:numFmt w:val="bullet"/>
      <w:lvlText w:val="◯"/>
      <w:lvlJc w:val="left"/>
      <w:pPr>
        <w:tabs>
          <w:tab w:val="num" w:pos="3600"/>
        </w:tabs>
        <w:ind w:left="3600" w:hanging="360"/>
      </w:pPr>
      <w:rPr>
        <w:rFonts w:ascii="UD デジタル 教科書体 NP-R" w:hAnsi="UD デジタル 教科書体 NP-R" w:hint="default"/>
      </w:rPr>
    </w:lvl>
    <w:lvl w:ilvl="5" w:tplc="6A1AC244" w:tentative="1">
      <w:start w:val="1"/>
      <w:numFmt w:val="bullet"/>
      <w:lvlText w:val="◯"/>
      <w:lvlJc w:val="left"/>
      <w:pPr>
        <w:tabs>
          <w:tab w:val="num" w:pos="4320"/>
        </w:tabs>
        <w:ind w:left="4320" w:hanging="360"/>
      </w:pPr>
      <w:rPr>
        <w:rFonts w:ascii="UD デジタル 教科書体 NP-R" w:hAnsi="UD デジタル 教科書体 NP-R" w:hint="default"/>
      </w:rPr>
    </w:lvl>
    <w:lvl w:ilvl="6" w:tplc="3496D1F8" w:tentative="1">
      <w:start w:val="1"/>
      <w:numFmt w:val="bullet"/>
      <w:lvlText w:val="◯"/>
      <w:lvlJc w:val="left"/>
      <w:pPr>
        <w:tabs>
          <w:tab w:val="num" w:pos="5040"/>
        </w:tabs>
        <w:ind w:left="5040" w:hanging="360"/>
      </w:pPr>
      <w:rPr>
        <w:rFonts w:ascii="UD デジタル 教科書体 NP-R" w:hAnsi="UD デジタル 教科書体 NP-R" w:hint="default"/>
      </w:rPr>
    </w:lvl>
    <w:lvl w:ilvl="7" w:tplc="C2D29F1C" w:tentative="1">
      <w:start w:val="1"/>
      <w:numFmt w:val="bullet"/>
      <w:lvlText w:val="◯"/>
      <w:lvlJc w:val="left"/>
      <w:pPr>
        <w:tabs>
          <w:tab w:val="num" w:pos="5760"/>
        </w:tabs>
        <w:ind w:left="5760" w:hanging="360"/>
      </w:pPr>
      <w:rPr>
        <w:rFonts w:ascii="UD デジタル 教科書体 NP-R" w:hAnsi="UD デジタル 教科書体 NP-R" w:hint="default"/>
      </w:rPr>
    </w:lvl>
    <w:lvl w:ilvl="8" w:tplc="7694B0A2" w:tentative="1">
      <w:start w:val="1"/>
      <w:numFmt w:val="bullet"/>
      <w:lvlText w:val="◯"/>
      <w:lvlJc w:val="left"/>
      <w:pPr>
        <w:tabs>
          <w:tab w:val="num" w:pos="6480"/>
        </w:tabs>
        <w:ind w:left="6480" w:hanging="360"/>
      </w:pPr>
      <w:rPr>
        <w:rFonts w:ascii="UD デジタル 教科書体 NP-R" w:hAnsi="UD デジタル 教科書体 NP-R" w:hint="default"/>
      </w:rPr>
    </w:lvl>
  </w:abstractNum>
  <w:abstractNum w:abstractNumId="4" w15:restartNumberingAfterBreak="0">
    <w:nsid w:val="6D966C56"/>
    <w:multiLevelType w:val="hybridMultilevel"/>
    <w:tmpl w:val="DEBA0E8A"/>
    <w:lvl w:ilvl="0" w:tplc="3D7C180C">
      <w:start w:val="1"/>
      <w:numFmt w:val="bullet"/>
      <w:lvlText w:val="◯"/>
      <w:lvlJc w:val="left"/>
      <w:pPr>
        <w:tabs>
          <w:tab w:val="num" w:pos="720"/>
        </w:tabs>
        <w:ind w:left="720" w:hanging="360"/>
      </w:pPr>
      <w:rPr>
        <w:rFonts w:ascii="UD デジタル 教科書体 NP-R" w:hAnsi="UD デジタル 教科書体 NP-R" w:hint="default"/>
      </w:rPr>
    </w:lvl>
    <w:lvl w:ilvl="1" w:tplc="0264F990" w:tentative="1">
      <w:start w:val="1"/>
      <w:numFmt w:val="bullet"/>
      <w:lvlText w:val="◯"/>
      <w:lvlJc w:val="left"/>
      <w:pPr>
        <w:tabs>
          <w:tab w:val="num" w:pos="1440"/>
        </w:tabs>
        <w:ind w:left="1440" w:hanging="360"/>
      </w:pPr>
      <w:rPr>
        <w:rFonts w:ascii="UD デジタル 教科書体 NP-R" w:hAnsi="UD デジタル 教科書体 NP-R" w:hint="default"/>
      </w:rPr>
    </w:lvl>
    <w:lvl w:ilvl="2" w:tplc="A554FAC2" w:tentative="1">
      <w:start w:val="1"/>
      <w:numFmt w:val="bullet"/>
      <w:lvlText w:val="◯"/>
      <w:lvlJc w:val="left"/>
      <w:pPr>
        <w:tabs>
          <w:tab w:val="num" w:pos="2160"/>
        </w:tabs>
        <w:ind w:left="2160" w:hanging="360"/>
      </w:pPr>
      <w:rPr>
        <w:rFonts w:ascii="UD デジタル 教科書体 NP-R" w:hAnsi="UD デジタル 教科書体 NP-R" w:hint="default"/>
      </w:rPr>
    </w:lvl>
    <w:lvl w:ilvl="3" w:tplc="9AFC520E" w:tentative="1">
      <w:start w:val="1"/>
      <w:numFmt w:val="bullet"/>
      <w:lvlText w:val="◯"/>
      <w:lvlJc w:val="left"/>
      <w:pPr>
        <w:tabs>
          <w:tab w:val="num" w:pos="2880"/>
        </w:tabs>
        <w:ind w:left="2880" w:hanging="360"/>
      </w:pPr>
      <w:rPr>
        <w:rFonts w:ascii="UD デジタル 教科書体 NP-R" w:hAnsi="UD デジタル 教科書体 NP-R" w:hint="default"/>
      </w:rPr>
    </w:lvl>
    <w:lvl w:ilvl="4" w:tplc="50D0BF84" w:tentative="1">
      <w:start w:val="1"/>
      <w:numFmt w:val="bullet"/>
      <w:lvlText w:val="◯"/>
      <w:lvlJc w:val="left"/>
      <w:pPr>
        <w:tabs>
          <w:tab w:val="num" w:pos="3600"/>
        </w:tabs>
        <w:ind w:left="3600" w:hanging="360"/>
      </w:pPr>
      <w:rPr>
        <w:rFonts w:ascii="UD デジタル 教科書体 NP-R" w:hAnsi="UD デジタル 教科書体 NP-R" w:hint="default"/>
      </w:rPr>
    </w:lvl>
    <w:lvl w:ilvl="5" w:tplc="CC70867C" w:tentative="1">
      <w:start w:val="1"/>
      <w:numFmt w:val="bullet"/>
      <w:lvlText w:val="◯"/>
      <w:lvlJc w:val="left"/>
      <w:pPr>
        <w:tabs>
          <w:tab w:val="num" w:pos="4320"/>
        </w:tabs>
        <w:ind w:left="4320" w:hanging="360"/>
      </w:pPr>
      <w:rPr>
        <w:rFonts w:ascii="UD デジタル 教科書体 NP-R" w:hAnsi="UD デジタル 教科書体 NP-R" w:hint="default"/>
      </w:rPr>
    </w:lvl>
    <w:lvl w:ilvl="6" w:tplc="B36A6900" w:tentative="1">
      <w:start w:val="1"/>
      <w:numFmt w:val="bullet"/>
      <w:lvlText w:val="◯"/>
      <w:lvlJc w:val="left"/>
      <w:pPr>
        <w:tabs>
          <w:tab w:val="num" w:pos="5040"/>
        </w:tabs>
        <w:ind w:left="5040" w:hanging="360"/>
      </w:pPr>
      <w:rPr>
        <w:rFonts w:ascii="UD デジタル 教科書体 NP-R" w:hAnsi="UD デジタル 教科書体 NP-R" w:hint="default"/>
      </w:rPr>
    </w:lvl>
    <w:lvl w:ilvl="7" w:tplc="8A30C72E" w:tentative="1">
      <w:start w:val="1"/>
      <w:numFmt w:val="bullet"/>
      <w:lvlText w:val="◯"/>
      <w:lvlJc w:val="left"/>
      <w:pPr>
        <w:tabs>
          <w:tab w:val="num" w:pos="5760"/>
        </w:tabs>
        <w:ind w:left="5760" w:hanging="360"/>
      </w:pPr>
      <w:rPr>
        <w:rFonts w:ascii="UD デジタル 教科書体 NP-R" w:hAnsi="UD デジタル 教科書体 NP-R" w:hint="default"/>
      </w:rPr>
    </w:lvl>
    <w:lvl w:ilvl="8" w:tplc="DAFC6EB0" w:tentative="1">
      <w:start w:val="1"/>
      <w:numFmt w:val="bullet"/>
      <w:lvlText w:val="◯"/>
      <w:lvlJc w:val="left"/>
      <w:pPr>
        <w:tabs>
          <w:tab w:val="num" w:pos="6480"/>
        </w:tabs>
        <w:ind w:left="6480" w:hanging="360"/>
      </w:pPr>
      <w:rPr>
        <w:rFonts w:ascii="UD デジタル 教科書体 NP-R" w:hAnsi="UD デジタル 教科書体 NP-R" w:hint="default"/>
      </w:rPr>
    </w:lvl>
  </w:abstractNum>
  <w:abstractNum w:abstractNumId="5" w15:restartNumberingAfterBreak="0">
    <w:nsid w:val="7BEF6057"/>
    <w:multiLevelType w:val="hybridMultilevel"/>
    <w:tmpl w:val="69CC2BF6"/>
    <w:lvl w:ilvl="0" w:tplc="D1D8FB5C">
      <w:start w:val="1"/>
      <w:numFmt w:val="bullet"/>
      <w:lvlText w:val="◯"/>
      <w:lvlJc w:val="left"/>
      <w:pPr>
        <w:tabs>
          <w:tab w:val="num" w:pos="720"/>
        </w:tabs>
        <w:ind w:left="720" w:hanging="360"/>
      </w:pPr>
      <w:rPr>
        <w:rFonts w:ascii="UD デジタル 教科書体 NP-R" w:hAnsi="UD デジタル 教科書体 NP-R" w:hint="default"/>
      </w:rPr>
    </w:lvl>
    <w:lvl w:ilvl="1" w:tplc="906641DA" w:tentative="1">
      <w:start w:val="1"/>
      <w:numFmt w:val="bullet"/>
      <w:lvlText w:val="◯"/>
      <w:lvlJc w:val="left"/>
      <w:pPr>
        <w:tabs>
          <w:tab w:val="num" w:pos="1440"/>
        </w:tabs>
        <w:ind w:left="1440" w:hanging="360"/>
      </w:pPr>
      <w:rPr>
        <w:rFonts w:ascii="UD デジタル 教科書体 NP-R" w:hAnsi="UD デジタル 教科書体 NP-R" w:hint="default"/>
      </w:rPr>
    </w:lvl>
    <w:lvl w:ilvl="2" w:tplc="A5B25186" w:tentative="1">
      <w:start w:val="1"/>
      <w:numFmt w:val="bullet"/>
      <w:lvlText w:val="◯"/>
      <w:lvlJc w:val="left"/>
      <w:pPr>
        <w:tabs>
          <w:tab w:val="num" w:pos="2160"/>
        </w:tabs>
        <w:ind w:left="2160" w:hanging="360"/>
      </w:pPr>
      <w:rPr>
        <w:rFonts w:ascii="UD デジタル 教科書体 NP-R" w:hAnsi="UD デジタル 教科書体 NP-R" w:hint="default"/>
      </w:rPr>
    </w:lvl>
    <w:lvl w:ilvl="3" w:tplc="DB68CB40" w:tentative="1">
      <w:start w:val="1"/>
      <w:numFmt w:val="bullet"/>
      <w:lvlText w:val="◯"/>
      <w:lvlJc w:val="left"/>
      <w:pPr>
        <w:tabs>
          <w:tab w:val="num" w:pos="2880"/>
        </w:tabs>
        <w:ind w:left="2880" w:hanging="360"/>
      </w:pPr>
      <w:rPr>
        <w:rFonts w:ascii="UD デジタル 教科書体 NP-R" w:hAnsi="UD デジタル 教科書体 NP-R" w:hint="default"/>
      </w:rPr>
    </w:lvl>
    <w:lvl w:ilvl="4" w:tplc="E636435C" w:tentative="1">
      <w:start w:val="1"/>
      <w:numFmt w:val="bullet"/>
      <w:lvlText w:val="◯"/>
      <w:lvlJc w:val="left"/>
      <w:pPr>
        <w:tabs>
          <w:tab w:val="num" w:pos="3600"/>
        </w:tabs>
        <w:ind w:left="3600" w:hanging="360"/>
      </w:pPr>
      <w:rPr>
        <w:rFonts w:ascii="UD デジタル 教科書体 NP-R" w:hAnsi="UD デジタル 教科書体 NP-R" w:hint="default"/>
      </w:rPr>
    </w:lvl>
    <w:lvl w:ilvl="5" w:tplc="AD74E2A8" w:tentative="1">
      <w:start w:val="1"/>
      <w:numFmt w:val="bullet"/>
      <w:lvlText w:val="◯"/>
      <w:lvlJc w:val="left"/>
      <w:pPr>
        <w:tabs>
          <w:tab w:val="num" w:pos="4320"/>
        </w:tabs>
        <w:ind w:left="4320" w:hanging="360"/>
      </w:pPr>
      <w:rPr>
        <w:rFonts w:ascii="UD デジタル 教科書体 NP-R" w:hAnsi="UD デジタル 教科書体 NP-R" w:hint="default"/>
      </w:rPr>
    </w:lvl>
    <w:lvl w:ilvl="6" w:tplc="C310DD98" w:tentative="1">
      <w:start w:val="1"/>
      <w:numFmt w:val="bullet"/>
      <w:lvlText w:val="◯"/>
      <w:lvlJc w:val="left"/>
      <w:pPr>
        <w:tabs>
          <w:tab w:val="num" w:pos="5040"/>
        </w:tabs>
        <w:ind w:left="5040" w:hanging="360"/>
      </w:pPr>
      <w:rPr>
        <w:rFonts w:ascii="UD デジタル 教科書体 NP-R" w:hAnsi="UD デジタル 教科書体 NP-R" w:hint="default"/>
      </w:rPr>
    </w:lvl>
    <w:lvl w:ilvl="7" w:tplc="BF76C834" w:tentative="1">
      <w:start w:val="1"/>
      <w:numFmt w:val="bullet"/>
      <w:lvlText w:val="◯"/>
      <w:lvlJc w:val="left"/>
      <w:pPr>
        <w:tabs>
          <w:tab w:val="num" w:pos="5760"/>
        </w:tabs>
        <w:ind w:left="5760" w:hanging="360"/>
      </w:pPr>
      <w:rPr>
        <w:rFonts w:ascii="UD デジタル 教科書体 NP-R" w:hAnsi="UD デジタル 教科書体 NP-R" w:hint="default"/>
      </w:rPr>
    </w:lvl>
    <w:lvl w:ilvl="8" w:tplc="0E3C8AF8" w:tentative="1">
      <w:start w:val="1"/>
      <w:numFmt w:val="bullet"/>
      <w:lvlText w:val="◯"/>
      <w:lvlJc w:val="left"/>
      <w:pPr>
        <w:tabs>
          <w:tab w:val="num" w:pos="6480"/>
        </w:tabs>
        <w:ind w:left="6480" w:hanging="360"/>
      </w:pPr>
      <w:rPr>
        <w:rFonts w:ascii="UD デジタル 教科書体 NP-R" w:hAnsi="UD デジタル 教科書体 NP-R"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ZO6f81ijGdzjoR/uzTZXxlP7BB4Nq/xM7U66rqwJmpSnq8orSS/SSOw2Tqj56eOFzHTrbhTvp7HnSeRXTJZw2A==" w:salt="L2aqqKrTt2WPBPmi0yZHUA=="/>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6D"/>
    <w:rsid w:val="00061BE9"/>
    <w:rsid w:val="000E1574"/>
    <w:rsid w:val="00197CC6"/>
    <w:rsid w:val="0021058B"/>
    <w:rsid w:val="00263E85"/>
    <w:rsid w:val="00286FA3"/>
    <w:rsid w:val="002C11F2"/>
    <w:rsid w:val="00322FE1"/>
    <w:rsid w:val="0038000A"/>
    <w:rsid w:val="005B22B8"/>
    <w:rsid w:val="007040C5"/>
    <w:rsid w:val="00765B5C"/>
    <w:rsid w:val="0078076D"/>
    <w:rsid w:val="0085348B"/>
    <w:rsid w:val="00987F53"/>
    <w:rsid w:val="00A15416"/>
    <w:rsid w:val="00B86BF6"/>
    <w:rsid w:val="00C219AE"/>
    <w:rsid w:val="00CF05BA"/>
    <w:rsid w:val="00D05E1F"/>
    <w:rsid w:val="00ED2BC2"/>
    <w:rsid w:val="00F92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210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F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74"/>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0E15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 Spacing"/>
    <w:uiPriority w:val="1"/>
    <w:qFormat/>
    <w:rsid w:val="00ED2BC2"/>
    <w:pPr>
      <w:widowControl w:val="0"/>
      <w:jc w:val="both"/>
    </w:pPr>
  </w:style>
  <w:style w:type="paragraph" w:styleId="a5">
    <w:name w:val="header"/>
    <w:basedOn w:val="a"/>
    <w:link w:val="a6"/>
    <w:uiPriority w:val="99"/>
    <w:unhideWhenUsed/>
    <w:rsid w:val="00322FE1"/>
    <w:pPr>
      <w:tabs>
        <w:tab w:val="center" w:pos="4252"/>
        <w:tab w:val="right" w:pos="8504"/>
      </w:tabs>
      <w:snapToGrid w:val="0"/>
    </w:pPr>
  </w:style>
  <w:style w:type="character" w:customStyle="1" w:styleId="a6">
    <w:name w:val="ヘッダー (文字)"/>
    <w:basedOn w:val="a0"/>
    <w:link w:val="a5"/>
    <w:uiPriority w:val="99"/>
    <w:rsid w:val="00322FE1"/>
  </w:style>
  <w:style w:type="paragraph" w:styleId="a7">
    <w:name w:val="footer"/>
    <w:basedOn w:val="a"/>
    <w:link w:val="a8"/>
    <w:uiPriority w:val="99"/>
    <w:unhideWhenUsed/>
    <w:rsid w:val="00322FE1"/>
    <w:pPr>
      <w:tabs>
        <w:tab w:val="center" w:pos="4252"/>
        <w:tab w:val="right" w:pos="8504"/>
      </w:tabs>
      <w:snapToGrid w:val="0"/>
    </w:pPr>
  </w:style>
  <w:style w:type="character" w:customStyle="1" w:styleId="a8">
    <w:name w:val="フッター (文字)"/>
    <w:basedOn w:val="a0"/>
    <w:link w:val="a7"/>
    <w:uiPriority w:val="99"/>
    <w:rsid w:val="0032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5337">
      <w:bodyDiv w:val="1"/>
      <w:marLeft w:val="0"/>
      <w:marRight w:val="0"/>
      <w:marTop w:val="0"/>
      <w:marBottom w:val="0"/>
      <w:divBdr>
        <w:top w:val="none" w:sz="0" w:space="0" w:color="auto"/>
        <w:left w:val="none" w:sz="0" w:space="0" w:color="auto"/>
        <w:bottom w:val="none" w:sz="0" w:space="0" w:color="auto"/>
        <w:right w:val="none" w:sz="0" w:space="0" w:color="auto"/>
      </w:divBdr>
      <w:divsChild>
        <w:div w:id="983124230">
          <w:marLeft w:val="446"/>
          <w:marRight w:val="0"/>
          <w:marTop w:val="0"/>
          <w:marBottom w:val="0"/>
          <w:divBdr>
            <w:top w:val="none" w:sz="0" w:space="0" w:color="auto"/>
            <w:left w:val="none" w:sz="0" w:space="0" w:color="auto"/>
            <w:bottom w:val="none" w:sz="0" w:space="0" w:color="auto"/>
            <w:right w:val="none" w:sz="0" w:space="0" w:color="auto"/>
          </w:divBdr>
        </w:div>
        <w:div w:id="1180657286">
          <w:marLeft w:val="446"/>
          <w:marRight w:val="0"/>
          <w:marTop w:val="0"/>
          <w:marBottom w:val="0"/>
          <w:divBdr>
            <w:top w:val="none" w:sz="0" w:space="0" w:color="auto"/>
            <w:left w:val="none" w:sz="0" w:space="0" w:color="auto"/>
            <w:bottom w:val="none" w:sz="0" w:space="0" w:color="auto"/>
            <w:right w:val="none" w:sz="0" w:space="0" w:color="auto"/>
          </w:divBdr>
        </w:div>
        <w:div w:id="311448811">
          <w:marLeft w:val="446"/>
          <w:marRight w:val="0"/>
          <w:marTop w:val="0"/>
          <w:marBottom w:val="0"/>
          <w:divBdr>
            <w:top w:val="none" w:sz="0" w:space="0" w:color="auto"/>
            <w:left w:val="none" w:sz="0" w:space="0" w:color="auto"/>
            <w:bottom w:val="none" w:sz="0" w:space="0" w:color="auto"/>
            <w:right w:val="none" w:sz="0" w:space="0" w:color="auto"/>
          </w:divBdr>
        </w:div>
        <w:div w:id="1807089765">
          <w:marLeft w:val="446"/>
          <w:marRight w:val="0"/>
          <w:marTop w:val="0"/>
          <w:marBottom w:val="0"/>
          <w:divBdr>
            <w:top w:val="none" w:sz="0" w:space="0" w:color="auto"/>
            <w:left w:val="none" w:sz="0" w:space="0" w:color="auto"/>
            <w:bottom w:val="none" w:sz="0" w:space="0" w:color="auto"/>
            <w:right w:val="none" w:sz="0" w:space="0" w:color="auto"/>
          </w:divBdr>
        </w:div>
        <w:div w:id="1568880213">
          <w:marLeft w:val="446"/>
          <w:marRight w:val="0"/>
          <w:marTop w:val="0"/>
          <w:marBottom w:val="0"/>
          <w:divBdr>
            <w:top w:val="none" w:sz="0" w:space="0" w:color="auto"/>
            <w:left w:val="none" w:sz="0" w:space="0" w:color="auto"/>
            <w:bottom w:val="none" w:sz="0" w:space="0" w:color="auto"/>
            <w:right w:val="none" w:sz="0" w:space="0" w:color="auto"/>
          </w:divBdr>
        </w:div>
        <w:div w:id="1966622308">
          <w:marLeft w:val="446"/>
          <w:marRight w:val="0"/>
          <w:marTop w:val="0"/>
          <w:marBottom w:val="0"/>
          <w:divBdr>
            <w:top w:val="none" w:sz="0" w:space="0" w:color="auto"/>
            <w:left w:val="none" w:sz="0" w:space="0" w:color="auto"/>
            <w:bottom w:val="none" w:sz="0" w:space="0" w:color="auto"/>
            <w:right w:val="none" w:sz="0" w:space="0" w:color="auto"/>
          </w:divBdr>
        </w:div>
      </w:divsChild>
    </w:div>
    <w:div w:id="190074190">
      <w:bodyDiv w:val="1"/>
      <w:marLeft w:val="0"/>
      <w:marRight w:val="0"/>
      <w:marTop w:val="0"/>
      <w:marBottom w:val="0"/>
      <w:divBdr>
        <w:top w:val="none" w:sz="0" w:space="0" w:color="auto"/>
        <w:left w:val="none" w:sz="0" w:space="0" w:color="auto"/>
        <w:bottom w:val="none" w:sz="0" w:space="0" w:color="auto"/>
        <w:right w:val="none" w:sz="0" w:space="0" w:color="auto"/>
      </w:divBdr>
      <w:divsChild>
        <w:div w:id="891386903">
          <w:marLeft w:val="446"/>
          <w:marRight w:val="0"/>
          <w:marTop w:val="0"/>
          <w:marBottom w:val="0"/>
          <w:divBdr>
            <w:top w:val="none" w:sz="0" w:space="0" w:color="auto"/>
            <w:left w:val="none" w:sz="0" w:space="0" w:color="auto"/>
            <w:bottom w:val="none" w:sz="0" w:space="0" w:color="auto"/>
            <w:right w:val="none" w:sz="0" w:space="0" w:color="auto"/>
          </w:divBdr>
        </w:div>
        <w:div w:id="793905596">
          <w:marLeft w:val="446"/>
          <w:marRight w:val="0"/>
          <w:marTop w:val="0"/>
          <w:marBottom w:val="0"/>
          <w:divBdr>
            <w:top w:val="none" w:sz="0" w:space="0" w:color="auto"/>
            <w:left w:val="none" w:sz="0" w:space="0" w:color="auto"/>
            <w:bottom w:val="none" w:sz="0" w:space="0" w:color="auto"/>
            <w:right w:val="none" w:sz="0" w:space="0" w:color="auto"/>
          </w:divBdr>
        </w:div>
      </w:divsChild>
    </w:div>
    <w:div w:id="19184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4152</Characters>
  <Application>Microsoft Office Word</Application>
  <DocSecurity>8</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2022-03-25T06:03:00Z</dcterms:created>
  <dcterms:modified xsi:type="dcterms:W3CDTF">2022-03-30T03:33:00Z</dcterms:modified>
</cp:coreProperties>
</file>