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C2CBB" w14:textId="0D5EE04D" w:rsidR="007E48B7" w:rsidRPr="00A9618B" w:rsidRDefault="00EB6F2D" w:rsidP="00656F03">
      <w:pPr>
        <w:jc w:val="center"/>
        <w:rPr>
          <w:rFonts w:asciiTheme="minorEastAsia" w:hAnsiTheme="minorEastAsia"/>
          <w:b/>
          <w:bCs/>
          <w:sz w:val="24"/>
          <w:szCs w:val="24"/>
        </w:rPr>
      </w:pPr>
      <w:bookmarkStart w:id="0" w:name="_GoBack"/>
      <w:bookmarkEnd w:id="0"/>
      <w:r w:rsidRPr="00A9618B">
        <w:rPr>
          <w:rFonts w:asciiTheme="minorEastAsia" w:hAnsiTheme="minorEastAsia" w:hint="eastAsia"/>
          <w:b/>
          <w:bCs/>
          <w:sz w:val="24"/>
          <w:szCs w:val="24"/>
        </w:rPr>
        <w:t>第２期</w:t>
      </w:r>
      <w:r w:rsidR="00EF4A64" w:rsidRPr="00A9618B">
        <w:rPr>
          <w:rFonts w:asciiTheme="minorEastAsia" w:hAnsiTheme="minorEastAsia" w:hint="eastAsia"/>
          <w:b/>
          <w:bCs/>
          <w:sz w:val="24"/>
          <w:szCs w:val="24"/>
        </w:rPr>
        <w:t>大阪府ギャンブル等依存症対策推進計画（案）【概要</w:t>
      </w:r>
      <w:r w:rsidR="004F0725" w:rsidRPr="00A9618B">
        <w:rPr>
          <w:rFonts w:asciiTheme="minorEastAsia" w:hAnsiTheme="minorEastAsia" w:hint="eastAsia"/>
          <w:b/>
          <w:bCs/>
          <w:sz w:val="24"/>
          <w:szCs w:val="24"/>
        </w:rPr>
        <w:t>】</w:t>
      </w:r>
    </w:p>
    <w:p w14:paraId="526CBBB4" w14:textId="77777777" w:rsidR="004F0725" w:rsidRPr="00A9618B" w:rsidRDefault="004F0725">
      <w:pPr>
        <w:rPr>
          <w:rFonts w:asciiTheme="minorEastAsia" w:hAnsiTheme="minorEastAsia"/>
          <w:b/>
          <w:bCs/>
        </w:rPr>
      </w:pPr>
    </w:p>
    <w:p w14:paraId="3069C3F4" w14:textId="1086F0B9" w:rsidR="00122E09" w:rsidRPr="00A9618B" w:rsidRDefault="00B31879" w:rsidP="00122E09">
      <w:pPr>
        <w:rPr>
          <w:rFonts w:asciiTheme="minorEastAsia" w:hAnsiTheme="minorEastAsia"/>
        </w:rPr>
      </w:pPr>
      <w:r w:rsidRPr="00A9618B">
        <w:rPr>
          <w:rFonts w:asciiTheme="minorEastAsia" w:hAnsiTheme="minorEastAsia" w:hint="eastAsia"/>
          <w:b/>
          <w:bCs/>
        </w:rPr>
        <w:t xml:space="preserve">１.　</w:t>
      </w:r>
      <w:r w:rsidR="00122E09" w:rsidRPr="00A9618B">
        <w:rPr>
          <w:rFonts w:asciiTheme="minorEastAsia" w:hAnsiTheme="minorEastAsia" w:hint="eastAsia"/>
          <w:b/>
          <w:bCs/>
        </w:rPr>
        <w:t>基本的事項</w:t>
      </w:r>
    </w:p>
    <w:p w14:paraId="648F4021" w14:textId="77777777" w:rsidR="004F0725" w:rsidRPr="00A9618B" w:rsidRDefault="004F0725">
      <w:pPr>
        <w:rPr>
          <w:rFonts w:asciiTheme="minorEastAsia" w:hAnsiTheme="minorEastAsia"/>
        </w:rPr>
      </w:pPr>
    </w:p>
    <w:p w14:paraId="669C1FAE" w14:textId="53003ADB" w:rsidR="00122E09" w:rsidRPr="00A9618B" w:rsidRDefault="00C61EFD" w:rsidP="00122E09">
      <w:pPr>
        <w:rPr>
          <w:rFonts w:asciiTheme="minorEastAsia" w:hAnsiTheme="minorEastAsia"/>
          <w:b/>
          <w:bCs/>
        </w:rPr>
      </w:pPr>
      <w:r w:rsidRPr="00A9618B">
        <w:rPr>
          <w:rFonts w:asciiTheme="minorEastAsia" w:hAnsiTheme="minorEastAsia" w:hint="eastAsia"/>
          <w:b/>
          <w:bCs/>
        </w:rPr>
        <w:t>●</w:t>
      </w:r>
      <w:r w:rsidR="00122E09" w:rsidRPr="00A9618B">
        <w:rPr>
          <w:rFonts w:asciiTheme="minorEastAsia" w:hAnsiTheme="minorEastAsia" w:hint="eastAsia"/>
          <w:b/>
          <w:bCs/>
        </w:rPr>
        <w:t xml:space="preserve"> </w:t>
      </w:r>
      <w:r w:rsidR="00EB6F2D" w:rsidRPr="00A9618B">
        <w:rPr>
          <w:rFonts w:asciiTheme="minorEastAsia" w:hAnsiTheme="minorEastAsia" w:hint="eastAsia"/>
          <w:b/>
          <w:bCs/>
        </w:rPr>
        <w:t>基本理念</w:t>
      </w:r>
    </w:p>
    <w:p w14:paraId="692D1484" w14:textId="77777777" w:rsidR="00EB6F2D" w:rsidRPr="00A9618B" w:rsidRDefault="00EB6F2D" w:rsidP="00EB6F2D">
      <w:pPr>
        <w:rPr>
          <w:rFonts w:asciiTheme="minorEastAsia" w:hAnsiTheme="minorEastAsia"/>
          <w:bCs/>
        </w:rPr>
      </w:pPr>
      <w:r w:rsidRPr="00A9618B">
        <w:rPr>
          <w:rFonts w:asciiTheme="minorEastAsia" w:hAnsiTheme="minorEastAsia" w:hint="eastAsia"/>
          <w:b/>
          <w:bCs/>
        </w:rPr>
        <w:t xml:space="preserve">　　</w:t>
      </w:r>
      <w:r w:rsidRPr="00A9618B">
        <w:rPr>
          <w:rFonts w:asciiTheme="minorEastAsia" w:hAnsiTheme="minorEastAsia" w:hint="eastAsia"/>
          <w:bCs/>
        </w:rPr>
        <w:t>アルコール、薬物等に対する依存に関する施策等との有機的な連携を図りつつ、防止及び回復に必</w:t>
      </w:r>
    </w:p>
    <w:p w14:paraId="199825F1" w14:textId="77777777" w:rsidR="00EB6F2D" w:rsidRPr="00A9618B" w:rsidRDefault="00EB6F2D" w:rsidP="00EB6F2D">
      <w:pPr>
        <w:ind w:firstLineChars="200" w:firstLine="420"/>
        <w:rPr>
          <w:rFonts w:asciiTheme="minorEastAsia" w:hAnsiTheme="minorEastAsia"/>
          <w:bCs/>
        </w:rPr>
      </w:pPr>
      <w:r w:rsidRPr="00A9618B">
        <w:rPr>
          <w:rFonts w:asciiTheme="minorEastAsia" w:hAnsiTheme="minorEastAsia" w:hint="eastAsia"/>
          <w:bCs/>
        </w:rPr>
        <w:t>要な対策を講ずるとともに、ギャンブル依存症の本人及びその家族等が日常生活及び社会生活を円</w:t>
      </w:r>
    </w:p>
    <w:p w14:paraId="1138C0ED" w14:textId="13213725" w:rsidR="00EB6F2D" w:rsidRDefault="00EB6F2D" w:rsidP="00EB6F2D">
      <w:pPr>
        <w:ind w:firstLineChars="200" w:firstLine="420"/>
        <w:rPr>
          <w:rFonts w:asciiTheme="minorEastAsia" w:hAnsiTheme="minorEastAsia"/>
          <w:bCs/>
        </w:rPr>
      </w:pPr>
      <w:r w:rsidRPr="00A9618B">
        <w:rPr>
          <w:rFonts w:asciiTheme="minorEastAsia" w:hAnsiTheme="minorEastAsia" w:hint="eastAsia"/>
          <w:bCs/>
        </w:rPr>
        <w:t>滑に営むことができるように支援する。</w:t>
      </w:r>
    </w:p>
    <w:p w14:paraId="7C4D3D10" w14:textId="759D1A8C" w:rsidR="00ED0830" w:rsidRPr="00A9618B" w:rsidRDefault="00ED0830" w:rsidP="00EB6F2D">
      <w:pPr>
        <w:ind w:firstLineChars="200" w:firstLine="420"/>
        <w:rPr>
          <w:rFonts w:asciiTheme="minorEastAsia" w:hAnsiTheme="minorEastAsia"/>
        </w:rPr>
      </w:pPr>
      <w:r>
        <w:rPr>
          <w:rFonts w:asciiTheme="minorEastAsia" w:hAnsiTheme="minorEastAsia" w:hint="eastAsia"/>
          <w:bCs/>
        </w:rPr>
        <w:t>（基本法第３条・第４条、基本条例第３条）</w:t>
      </w:r>
    </w:p>
    <w:p w14:paraId="4F7B338F" w14:textId="616305FB" w:rsidR="00122E09" w:rsidRPr="00A9618B" w:rsidRDefault="00C61EFD" w:rsidP="00EB6F2D">
      <w:pPr>
        <w:rPr>
          <w:rFonts w:asciiTheme="minorEastAsia" w:hAnsiTheme="minorEastAsia"/>
        </w:rPr>
      </w:pPr>
      <w:r w:rsidRPr="00A9618B">
        <w:rPr>
          <w:rFonts w:asciiTheme="minorEastAsia" w:hAnsiTheme="minorEastAsia" w:hint="eastAsia"/>
          <w:b/>
          <w:bCs/>
        </w:rPr>
        <w:t>●</w:t>
      </w:r>
      <w:r w:rsidR="00122E09" w:rsidRPr="00A9618B">
        <w:rPr>
          <w:rFonts w:asciiTheme="minorEastAsia" w:hAnsiTheme="minorEastAsia" w:hint="eastAsia"/>
          <w:b/>
          <w:bCs/>
        </w:rPr>
        <w:t xml:space="preserve"> 計画の位置づけ</w:t>
      </w:r>
    </w:p>
    <w:p w14:paraId="4475DA7A" w14:textId="550FB8D9" w:rsidR="00122E09" w:rsidRPr="00A9618B" w:rsidRDefault="00122E09" w:rsidP="00122E09">
      <w:pPr>
        <w:rPr>
          <w:rFonts w:asciiTheme="minorEastAsia" w:hAnsiTheme="minorEastAsia"/>
        </w:rPr>
      </w:pPr>
      <w:r w:rsidRPr="00A9618B">
        <w:rPr>
          <w:rFonts w:asciiTheme="minorEastAsia" w:hAnsiTheme="minorEastAsia" w:hint="eastAsia"/>
        </w:rPr>
        <w:t xml:space="preserve">　　</w:t>
      </w:r>
      <w:r w:rsidR="00EB6F2D" w:rsidRPr="00A9618B">
        <w:rPr>
          <w:rFonts w:asciiTheme="minorEastAsia" w:hAnsiTheme="minorEastAsia" w:hint="eastAsia"/>
        </w:rPr>
        <w:t>基本法第１３条第１項及び基本条例第７条第１項に定める「ギャンブル等依存症対策推進計画」として策定。</w:t>
      </w:r>
    </w:p>
    <w:p w14:paraId="784B58E0" w14:textId="55AD5C14" w:rsidR="00122E09" w:rsidRPr="00A9618B" w:rsidRDefault="00C61EFD" w:rsidP="00122E09">
      <w:pPr>
        <w:rPr>
          <w:rFonts w:asciiTheme="minorEastAsia" w:hAnsiTheme="minorEastAsia"/>
        </w:rPr>
      </w:pPr>
      <w:r w:rsidRPr="00A9618B">
        <w:rPr>
          <w:rFonts w:asciiTheme="minorEastAsia" w:hAnsiTheme="minorEastAsia" w:hint="eastAsia"/>
          <w:b/>
          <w:bCs/>
        </w:rPr>
        <w:t>●</w:t>
      </w:r>
      <w:r w:rsidR="00122E09" w:rsidRPr="00A9618B">
        <w:rPr>
          <w:rFonts w:asciiTheme="minorEastAsia" w:hAnsiTheme="minorEastAsia" w:hint="eastAsia"/>
          <w:b/>
          <w:bCs/>
        </w:rPr>
        <w:t xml:space="preserve"> 計画の期間</w:t>
      </w:r>
    </w:p>
    <w:p w14:paraId="2106F541" w14:textId="400A5B44" w:rsidR="00122E09" w:rsidRPr="00A9618B" w:rsidRDefault="00EB6F2D" w:rsidP="00EB6F2D">
      <w:pPr>
        <w:rPr>
          <w:rFonts w:asciiTheme="minorEastAsia" w:hAnsiTheme="minorEastAsia"/>
        </w:rPr>
      </w:pPr>
      <w:r w:rsidRPr="00A9618B">
        <w:rPr>
          <w:rFonts w:asciiTheme="minorEastAsia" w:hAnsiTheme="minorEastAsia" w:hint="eastAsia"/>
        </w:rPr>
        <w:t xml:space="preserve">　　令和５年度から令和７</w:t>
      </w:r>
      <w:r w:rsidR="00122E09" w:rsidRPr="00A9618B">
        <w:rPr>
          <w:rFonts w:asciiTheme="minorEastAsia" w:hAnsiTheme="minorEastAsia" w:hint="eastAsia"/>
        </w:rPr>
        <w:t>年度までの３年間</w:t>
      </w:r>
    </w:p>
    <w:p w14:paraId="22FB851F" w14:textId="77777777" w:rsidR="00122E09" w:rsidRPr="00A9618B" w:rsidRDefault="00122E09">
      <w:pPr>
        <w:rPr>
          <w:rFonts w:asciiTheme="minorEastAsia" w:hAnsiTheme="minorEastAsia"/>
        </w:rPr>
      </w:pPr>
    </w:p>
    <w:p w14:paraId="262ECD2E" w14:textId="172DC12C" w:rsidR="00656F03" w:rsidRPr="00A9618B" w:rsidRDefault="00B31879" w:rsidP="00656F03">
      <w:pPr>
        <w:rPr>
          <w:rFonts w:asciiTheme="minorEastAsia" w:hAnsiTheme="minorEastAsia"/>
          <w:b/>
          <w:bCs/>
        </w:rPr>
      </w:pPr>
      <w:r w:rsidRPr="00A9618B">
        <w:rPr>
          <w:rFonts w:asciiTheme="minorEastAsia" w:hAnsiTheme="minorEastAsia" w:hint="eastAsia"/>
          <w:b/>
          <w:bCs/>
        </w:rPr>
        <w:t xml:space="preserve">２.　</w:t>
      </w:r>
      <w:r w:rsidR="00C61EFD" w:rsidRPr="00A9618B">
        <w:rPr>
          <w:rFonts w:asciiTheme="minorEastAsia" w:hAnsiTheme="minorEastAsia" w:hint="eastAsia"/>
          <w:b/>
          <w:bCs/>
        </w:rPr>
        <w:t>現状と</w:t>
      </w:r>
      <w:r w:rsidR="00656F03" w:rsidRPr="00A9618B">
        <w:rPr>
          <w:rFonts w:asciiTheme="minorEastAsia" w:hAnsiTheme="minorEastAsia" w:hint="eastAsia"/>
          <w:b/>
          <w:bCs/>
        </w:rPr>
        <w:t>課題</w:t>
      </w:r>
    </w:p>
    <w:p w14:paraId="6C822C29" w14:textId="77777777" w:rsidR="00656F03" w:rsidRPr="00A9618B" w:rsidRDefault="00656F03">
      <w:pPr>
        <w:rPr>
          <w:rFonts w:asciiTheme="minorEastAsia" w:hAnsiTheme="minorEastAsia"/>
        </w:rPr>
      </w:pPr>
    </w:p>
    <w:p w14:paraId="008F78B6" w14:textId="7295ED6E" w:rsidR="00EB6F2D" w:rsidRPr="00A9618B" w:rsidRDefault="00EB6F2D" w:rsidP="00656F03">
      <w:pPr>
        <w:rPr>
          <w:rFonts w:asciiTheme="minorEastAsia" w:hAnsiTheme="minorEastAsia"/>
          <w:b/>
          <w:bCs/>
        </w:rPr>
      </w:pPr>
      <w:r w:rsidRPr="00A9618B">
        <w:rPr>
          <w:rFonts w:asciiTheme="minorEastAsia" w:hAnsiTheme="minorEastAsia" w:hint="eastAsia"/>
          <w:b/>
          <w:bCs/>
        </w:rPr>
        <w:t>（１）ギャンブル等依存症を巡る状況【「ギャンブル等と健康に関する調査」（令和３年２月実施）等より】</w:t>
      </w:r>
    </w:p>
    <w:p w14:paraId="64796459" w14:textId="3B200E4D" w:rsidR="00656F03" w:rsidRPr="00C63DC9" w:rsidRDefault="00656F03" w:rsidP="00656F03">
      <w:pPr>
        <w:rPr>
          <w:rFonts w:asciiTheme="minorEastAsia" w:hAnsiTheme="minorEastAsia"/>
          <w:b/>
        </w:rPr>
      </w:pPr>
      <w:r w:rsidRPr="00A9618B">
        <w:rPr>
          <w:rFonts w:asciiTheme="minorEastAsia" w:hAnsiTheme="minorEastAsia" w:hint="eastAsia"/>
        </w:rPr>
        <w:t xml:space="preserve">　　</w:t>
      </w:r>
      <w:r w:rsidR="00BE0585" w:rsidRPr="00C63DC9">
        <w:rPr>
          <w:rFonts w:asciiTheme="minorEastAsia" w:hAnsiTheme="minorEastAsia" w:hint="eastAsia"/>
          <w:b/>
        </w:rPr>
        <w:t>①経験したギャンブル等の種類</w:t>
      </w:r>
    </w:p>
    <w:p w14:paraId="0B7DDBBA" w14:textId="293C203F" w:rsidR="00BE0585" w:rsidRPr="00A9618B" w:rsidRDefault="00656F03" w:rsidP="00656F03">
      <w:pPr>
        <w:rPr>
          <w:rFonts w:asciiTheme="minorEastAsia" w:hAnsiTheme="minorEastAsia"/>
        </w:rPr>
      </w:pPr>
      <w:r w:rsidRPr="00A9618B">
        <w:rPr>
          <w:rFonts w:asciiTheme="minorEastAsia" w:hAnsiTheme="minorEastAsia" w:hint="eastAsia"/>
        </w:rPr>
        <w:t xml:space="preserve">　　　　生涯</w:t>
      </w:r>
      <w:r w:rsidR="00BE0585" w:rsidRPr="00A9618B">
        <w:rPr>
          <w:rFonts w:asciiTheme="minorEastAsia" w:hAnsiTheme="minorEastAsia" w:hint="eastAsia"/>
        </w:rPr>
        <w:t xml:space="preserve">での経験　　</w:t>
      </w:r>
      <w:r w:rsidRPr="00A9618B">
        <w:rPr>
          <w:rFonts w:asciiTheme="minorEastAsia" w:hAnsiTheme="minorEastAsia" w:hint="eastAsia"/>
        </w:rPr>
        <w:t>：</w:t>
      </w:r>
      <w:r w:rsidR="00BE0585" w:rsidRPr="00A9618B">
        <w:rPr>
          <w:rFonts w:asciiTheme="minorEastAsia" w:hAnsiTheme="minorEastAsia" w:hint="eastAsia"/>
        </w:rPr>
        <w:t>「宝くじ※」60.5％、「パチンコ」51.2％、「競馬」33.2％</w:t>
      </w:r>
    </w:p>
    <w:p w14:paraId="0DE9B85B" w14:textId="61837C3D" w:rsidR="00BE0585" w:rsidRPr="00A9618B" w:rsidRDefault="00BE0585" w:rsidP="00656F03">
      <w:pPr>
        <w:rPr>
          <w:rFonts w:asciiTheme="minorEastAsia" w:hAnsiTheme="minorEastAsia"/>
        </w:rPr>
      </w:pPr>
      <w:r w:rsidRPr="00A9618B">
        <w:rPr>
          <w:rFonts w:asciiTheme="minorEastAsia" w:hAnsiTheme="minorEastAsia" w:hint="eastAsia"/>
        </w:rPr>
        <w:t xml:space="preserve">　　　　　　　　　　　　　※ロト・ナンバーズ等を含む</w:t>
      </w:r>
    </w:p>
    <w:p w14:paraId="782A5781" w14:textId="327BEB4C" w:rsidR="00656F03" w:rsidRPr="00A9618B" w:rsidRDefault="00656F03" w:rsidP="00656F03">
      <w:pPr>
        <w:rPr>
          <w:rFonts w:asciiTheme="minorEastAsia" w:hAnsiTheme="minorEastAsia"/>
        </w:rPr>
      </w:pPr>
      <w:r w:rsidRPr="00A9618B">
        <w:rPr>
          <w:rFonts w:asciiTheme="minorEastAsia" w:hAnsiTheme="minorEastAsia" w:hint="eastAsia"/>
          <w:b/>
          <w:bCs/>
        </w:rPr>
        <w:t xml:space="preserve">　　　　</w:t>
      </w:r>
      <w:r w:rsidR="00BE0585" w:rsidRPr="00A9618B">
        <w:rPr>
          <w:rFonts w:asciiTheme="minorEastAsia" w:hAnsiTheme="minorEastAsia" w:hint="eastAsia"/>
        </w:rPr>
        <w:t>過去１年での経験：「宝くじ※」47.6％、「競馬」15.5％、「パチンコ」14.7％</w:t>
      </w:r>
    </w:p>
    <w:p w14:paraId="56FE9E2C" w14:textId="5AE0766F" w:rsidR="00BE0585" w:rsidRPr="00C63DC9" w:rsidRDefault="00BE0585" w:rsidP="00656F03">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②初めてギャンブル等をするようになった年齢</w:t>
      </w:r>
    </w:p>
    <w:p w14:paraId="4C217DFE" w14:textId="79F1C0A3" w:rsidR="00BE0585" w:rsidRPr="00A9618B" w:rsidRDefault="00BE0585" w:rsidP="00656F03">
      <w:pPr>
        <w:rPr>
          <w:rFonts w:asciiTheme="minorEastAsia" w:hAnsiTheme="minorEastAsia"/>
        </w:rPr>
      </w:pPr>
      <w:r w:rsidRPr="00A9618B">
        <w:rPr>
          <w:rFonts w:asciiTheme="minorEastAsia" w:hAnsiTheme="minorEastAsia" w:hint="eastAsia"/>
        </w:rPr>
        <w:t xml:space="preserve">　　　　「0-19歳」：31.9％</w:t>
      </w:r>
    </w:p>
    <w:p w14:paraId="4A7830F0" w14:textId="40A2A9CC" w:rsidR="00BE0585" w:rsidRPr="00A9618B" w:rsidRDefault="00BE0585" w:rsidP="00656F03">
      <w:pPr>
        <w:rPr>
          <w:rFonts w:asciiTheme="minorEastAsia" w:hAnsiTheme="minorEastAsia"/>
        </w:rPr>
      </w:pPr>
      <w:r w:rsidRPr="00A9618B">
        <w:rPr>
          <w:rFonts w:asciiTheme="minorEastAsia" w:hAnsiTheme="minorEastAsia" w:hint="eastAsia"/>
        </w:rPr>
        <w:t xml:space="preserve">　　　　「20歳代」：56.1％</w:t>
      </w:r>
    </w:p>
    <w:p w14:paraId="3B58C795" w14:textId="2D1708AF" w:rsidR="00BE0585" w:rsidRPr="00C63DC9" w:rsidRDefault="00BE0585" w:rsidP="00656F03">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③ギャンブル等依存が疑われる人（SOGS※５点以上）のギャンブル等行動</w:t>
      </w:r>
    </w:p>
    <w:p w14:paraId="67B4DFD6" w14:textId="1A4B3C2B" w:rsidR="00BE0585" w:rsidRPr="00A9618B" w:rsidRDefault="00BE0585" w:rsidP="00656F03">
      <w:pPr>
        <w:rPr>
          <w:rFonts w:asciiTheme="minorEastAsia" w:hAnsiTheme="minorEastAsia"/>
        </w:rPr>
      </w:pPr>
      <w:r w:rsidRPr="00A9618B">
        <w:rPr>
          <w:rFonts w:asciiTheme="minorEastAsia" w:hAnsiTheme="minorEastAsia" w:hint="eastAsia"/>
        </w:rPr>
        <w:t xml:space="preserve">　　　　過去１年での経験：「パチンコ」90.9％、「競馬」72.7％</w:t>
      </w:r>
    </w:p>
    <w:p w14:paraId="53500AF2" w14:textId="3C10EBA8" w:rsidR="00BE0585" w:rsidRPr="00A9618B" w:rsidRDefault="00BE0585" w:rsidP="00656F03">
      <w:pPr>
        <w:rPr>
          <w:rFonts w:asciiTheme="minorEastAsia" w:hAnsiTheme="minorEastAsia"/>
        </w:rPr>
      </w:pPr>
      <w:r w:rsidRPr="00A9618B">
        <w:rPr>
          <w:rFonts w:asciiTheme="minorEastAsia" w:hAnsiTheme="minorEastAsia" w:hint="eastAsia"/>
        </w:rPr>
        <w:t xml:space="preserve">　　　　（最もお金を使用：「パチンコ」50.0％、「パチスロ」31.8％）</w:t>
      </w:r>
    </w:p>
    <w:p w14:paraId="1138F708" w14:textId="77777777" w:rsidR="00BE0585" w:rsidRPr="00A9618B" w:rsidRDefault="00BE0585" w:rsidP="00656F03">
      <w:pPr>
        <w:rPr>
          <w:rFonts w:asciiTheme="minorEastAsia" w:hAnsiTheme="minorEastAsia"/>
        </w:rPr>
      </w:pPr>
      <w:r w:rsidRPr="00A9618B">
        <w:rPr>
          <w:rFonts w:asciiTheme="minorEastAsia" w:hAnsiTheme="minorEastAsia" w:hint="eastAsia"/>
        </w:rPr>
        <w:t xml:space="preserve">　　　　※SOGS（South </w:t>
      </w:r>
      <w:r w:rsidRPr="00A9618B">
        <w:rPr>
          <w:rFonts w:asciiTheme="minorEastAsia" w:hAnsiTheme="minorEastAsia"/>
        </w:rPr>
        <w:t>Oaks Gambling Screen</w:t>
      </w:r>
      <w:r w:rsidRPr="00A9618B">
        <w:rPr>
          <w:rFonts w:asciiTheme="minorEastAsia" w:hAnsiTheme="minorEastAsia" w:hint="eastAsia"/>
        </w:rPr>
        <w:t>）とは、アメリカのサウスオークス財団が開発したギャ</w:t>
      </w:r>
    </w:p>
    <w:p w14:paraId="702D5CCD" w14:textId="4DD6EC20" w:rsidR="00BE0585" w:rsidRPr="00A9618B" w:rsidRDefault="00BE0585" w:rsidP="00BE0585">
      <w:pPr>
        <w:ind w:firstLineChars="500" w:firstLine="1050"/>
        <w:rPr>
          <w:rFonts w:asciiTheme="minorEastAsia" w:hAnsiTheme="minorEastAsia"/>
        </w:rPr>
      </w:pPr>
      <w:r w:rsidRPr="00A9618B">
        <w:rPr>
          <w:rFonts w:asciiTheme="minorEastAsia" w:hAnsiTheme="minorEastAsia" w:hint="eastAsia"/>
        </w:rPr>
        <w:t>ンブル等依存症診断のための質問票。</w:t>
      </w:r>
    </w:p>
    <w:p w14:paraId="492D5FE4" w14:textId="702C6FBD" w:rsidR="008960BF" w:rsidRPr="00C63DC9" w:rsidRDefault="008960BF" w:rsidP="008960BF">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④家族等がギャンブル問題から受けた影響</w:t>
      </w:r>
    </w:p>
    <w:p w14:paraId="73C7A9AE" w14:textId="5FB624F4" w:rsidR="008960BF" w:rsidRPr="00A9618B" w:rsidRDefault="008960BF" w:rsidP="008960BF">
      <w:pPr>
        <w:rPr>
          <w:rFonts w:asciiTheme="minorEastAsia" w:hAnsiTheme="minorEastAsia"/>
        </w:rPr>
      </w:pPr>
      <w:r w:rsidRPr="00A9618B">
        <w:rPr>
          <w:rFonts w:asciiTheme="minorEastAsia" w:hAnsiTheme="minorEastAsia" w:hint="eastAsia"/>
        </w:rPr>
        <w:t xml:space="preserve">　　　　「浪費、借金による経済的困難」：37％</w:t>
      </w:r>
    </w:p>
    <w:p w14:paraId="69B47D0E" w14:textId="4658E35D" w:rsidR="008960BF" w:rsidRPr="00A9618B" w:rsidRDefault="008960BF" w:rsidP="008960BF">
      <w:pPr>
        <w:rPr>
          <w:rFonts w:asciiTheme="minorEastAsia" w:hAnsiTheme="minorEastAsia"/>
        </w:rPr>
      </w:pPr>
      <w:r w:rsidRPr="00A9618B">
        <w:rPr>
          <w:rFonts w:asciiTheme="minorEastAsia" w:hAnsiTheme="minorEastAsia" w:hint="eastAsia"/>
        </w:rPr>
        <w:t xml:space="preserve">　　　　「借金の肩代わり」：16％</w:t>
      </w:r>
    </w:p>
    <w:p w14:paraId="5B173083" w14:textId="381EDA4B" w:rsidR="008960BF" w:rsidRPr="00C63DC9" w:rsidRDefault="008960BF" w:rsidP="008960BF">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⑤ギャンブル等依存の相談者の借金額</w:t>
      </w:r>
    </w:p>
    <w:p w14:paraId="4FB418E4" w14:textId="08A9901E" w:rsidR="008960BF" w:rsidRPr="00A9618B" w:rsidRDefault="008960BF" w:rsidP="008960BF">
      <w:pPr>
        <w:rPr>
          <w:rFonts w:asciiTheme="minorEastAsia" w:hAnsiTheme="minorEastAsia"/>
        </w:rPr>
      </w:pPr>
      <w:r w:rsidRPr="00A9618B">
        <w:rPr>
          <w:rFonts w:asciiTheme="minorEastAsia" w:hAnsiTheme="minorEastAsia" w:hint="eastAsia"/>
        </w:rPr>
        <w:t xml:space="preserve">　　　　「100万円以上」：55％</w:t>
      </w:r>
    </w:p>
    <w:p w14:paraId="6C0A78EE" w14:textId="0C7274F7" w:rsidR="008960BF" w:rsidRPr="00C63DC9" w:rsidRDefault="008960BF" w:rsidP="008960BF">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⑥専門相談における主訴の内容</w:t>
      </w:r>
    </w:p>
    <w:p w14:paraId="1DFDE686" w14:textId="3952E8C0" w:rsidR="008960BF" w:rsidRPr="00A9618B" w:rsidRDefault="008960BF" w:rsidP="008960BF">
      <w:pPr>
        <w:rPr>
          <w:rFonts w:asciiTheme="minorEastAsia" w:hAnsiTheme="minorEastAsia"/>
        </w:rPr>
      </w:pPr>
      <w:r w:rsidRPr="00A9618B">
        <w:rPr>
          <w:rFonts w:asciiTheme="minorEastAsia" w:hAnsiTheme="minorEastAsia" w:hint="eastAsia"/>
        </w:rPr>
        <w:t xml:space="preserve">　　　　「精神科の受診・治療・病気に関するもの」：46％</w:t>
      </w:r>
    </w:p>
    <w:p w14:paraId="3CB7D1DC" w14:textId="77DE1F46" w:rsidR="008960BF" w:rsidRPr="00C63DC9" w:rsidRDefault="008960BF" w:rsidP="008960BF">
      <w:pPr>
        <w:rPr>
          <w:rFonts w:asciiTheme="minorEastAsia" w:hAnsiTheme="minorEastAsia"/>
          <w:b/>
        </w:rPr>
      </w:pPr>
      <w:r w:rsidRPr="00A9618B">
        <w:rPr>
          <w:rFonts w:asciiTheme="minorEastAsia" w:hAnsiTheme="minorEastAsia" w:hint="eastAsia"/>
        </w:rPr>
        <w:t xml:space="preserve">　　</w:t>
      </w:r>
      <w:r w:rsidRPr="00C63DC9">
        <w:rPr>
          <w:rFonts w:asciiTheme="minorEastAsia" w:hAnsiTheme="minorEastAsia" w:hint="eastAsia"/>
          <w:b/>
        </w:rPr>
        <w:t>⑦OAC加盟機関・団体への補助実績</w:t>
      </w:r>
    </w:p>
    <w:p w14:paraId="1F62ACEE" w14:textId="52F357CA" w:rsidR="00C82D6D" w:rsidRPr="00A9618B" w:rsidRDefault="00C82D6D" w:rsidP="008960BF">
      <w:pPr>
        <w:rPr>
          <w:rFonts w:asciiTheme="minorEastAsia" w:hAnsiTheme="minorEastAsia"/>
        </w:rPr>
      </w:pPr>
      <w:r w:rsidRPr="00A9618B">
        <w:rPr>
          <w:rFonts w:asciiTheme="minorEastAsia" w:hAnsiTheme="minorEastAsia" w:hint="eastAsia"/>
        </w:rPr>
        <w:lastRenderedPageBreak/>
        <w:t xml:space="preserve">　　　　早期介入・回復継続支援事業参画団体数</w:t>
      </w:r>
    </w:p>
    <w:p w14:paraId="5C7BD1BF" w14:textId="515A5045" w:rsidR="00C82D6D" w:rsidRPr="00A9618B" w:rsidRDefault="00C82D6D" w:rsidP="008960BF">
      <w:pPr>
        <w:rPr>
          <w:rFonts w:asciiTheme="minorEastAsia" w:hAnsiTheme="minorEastAsia"/>
        </w:rPr>
      </w:pPr>
      <w:r w:rsidRPr="00A9618B">
        <w:rPr>
          <w:rFonts w:asciiTheme="minorEastAsia" w:hAnsiTheme="minorEastAsia" w:hint="eastAsia"/>
        </w:rPr>
        <w:t xml:space="preserve">　　　　　「R1-R3団体数」：４団体（横這い）</w:t>
      </w:r>
    </w:p>
    <w:p w14:paraId="10C64135" w14:textId="792B00F0" w:rsidR="00C82D6D" w:rsidRPr="00A9618B" w:rsidRDefault="00C82D6D" w:rsidP="008960BF">
      <w:pPr>
        <w:rPr>
          <w:rFonts w:asciiTheme="minorEastAsia" w:hAnsiTheme="minorEastAsia"/>
        </w:rPr>
      </w:pPr>
    </w:p>
    <w:p w14:paraId="01D00196" w14:textId="7D8BFB7A" w:rsidR="00C82D6D" w:rsidRPr="00C63DC9" w:rsidRDefault="00C82D6D" w:rsidP="008960BF">
      <w:pPr>
        <w:rPr>
          <w:rFonts w:asciiTheme="minorEastAsia" w:hAnsiTheme="minorEastAsia"/>
          <w:b/>
        </w:rPr>
      </w:pPr>
      <w:r w:rsidRPr="00C63DC9">
        <w:rPr>
          <w:rFonts w:asciiTheme="minorEastAsia" w:hAnsiTheme="minorEastAsia" w:hint="eastAsia"/>
          <w:b/>
        </w:rPr>
        <w:t>（２）ギャンブル等依存が疑われる人等の推計</w:t>
      </w:r>
    </w:p>
    <w:p w14:paraId="15AFAD3B" w14:textId="77777777" w:rsidR="001B7C33" w:rsidRPr="00A9618B" w:rsidRDefault="00C82D6D" w:rsidP="008960BF">
      <w:pPr>
        <w:rPr>
          <w:rFonts w:asciiTheme="minorEastAsia" w:hAnsiTheme="minorEastAsia"/>
        </w:rPr>
      </w:pPr>
      <w:r w:rsidRPr="00A9618B">
        <w:rPr>
          <w:rFonts w:asciiTheme="minorEastAsia" w:hAnsiTheme="minorEastAsia" w:hint="eastAsia"/>
        </w:rPr>
        <w:t xml:space="preserve">　　　・SOGS５点以上で、過去１年以内にギャンブル等依存が疑われる人の割合は成人の1.9％、府の</w:t>
      </w:r>
    </w:p>
    <w:p w14:paraId="099C60E2" w14:textId="77777777" w:rsidR="001B7C33" w:rsidRPr="00A9618B" w:rsidRDefault="00C82D6D" w:rsidP="001B7C33">
      <w:pPr>
        <w:ind w:firstLineChars="400" w:firstLine="840"/>
        <w:rPr>
          <w:rFonts w:asciiTheme="minorEastAsia" w:hAnsiTheme="minorEastAsia"/>
        </w:rPr>
      </w:pPr>
      <w:r w:rsidRPr="00A9618B">
        <w:rPr>
          <w:rFonts w:asciiTheme="minorEastAsia" w:hAnsiTheme="minorEastAsia" w:hint="eastAsia"/>
        </w:rPr>
        <w:t>成人人口（令和４年12月現在：750万人）にあてはめると約14万3千人と推計され、うちギ</w:t>
      </w:r>
    </w:p>
    <w:p w14:paraId="7E3B67A2" w14:textId="5E65FCB4" w:rsidR="00C82D6D" w:rsidRPr="00A9618B" w:rsidRDefault="00C82D6D" w:rsidP="001B7C33">
      <w:pPr>
        <w:ind w:firstLineChars="400" w:firstLine="840"/>
        <w:rPr>
          <w:rFonts w:asciiTheme="minorEastAsia" w:hAnsiTheme="minorEastAsia"/>
        </w:rPr>
      </w:pPr>
      <w:r w:rsidRPr="00A9618B">
        <w:rPr>
          <w:rFonts w:asciiTheme="minorEastAsia" w:hAnsiTheme="minorEastAsia" w:hint="eastAsia"/>
        </w:rPr>
        <w:t>ャンブル障害に該当する人</w:t>
      </w:r>
      <w:r w:rsidR="001B7C33" w:rsidRPr="00A9618B">
        <w:rPr>
          <w:rFonts w:asciiTheme="minorEastAsia" w:hAnsiTheme="minorEastAsia" w:hint="eastAsia"/>
        </w:rPr>
        <w:t>は約半数と推定。</w:t>
      </w:r>
    </w:p>
    <w:p w14:paraId="002CB500" w14:textId="77777777" w:rsidR="00D00201" w:rsidRPr="00A9618B" w:rsidRDefault="001B7C33" w:rsidP="008960BF">
      <w:pPr>
        <w:rPr>
          <w:rFonts w:asciiTheme="minorEastAsia" w:hAnsiTheme="minorEastAsia"/>
        </w:rPr>
      </w:pPr>
      <w:r w:rsidRPr="00A9618B">
        <w:rPr>
          <w:rFonts w:asciiTheme="minorEastAsia" w:hAnsiTheme="minorEastAsia" w:hint="eastAsia"/>
        </w:rPr>
        <w:t xml:space="preserve">　　　・また、SOGS</w:t>
      </w:r>
      <w:r w:rsidR="00D00201" w:rsidRPr="00A9618B">
        <w:rPr>
          <w:rFonts w:asciiTheme="minorEastAsia" w:hAnsiTheme="minorEastAsia" w:hint="eastAsia"/>
        </w:rPr>
        <w:t>３～４点の割合は成人の1.5％、府の成人人口にあてはめると約11万3千人と推</w:t>
      </w:r>
    </w:p>
    <w:p w14:paraId="4E4F68BD" w14:textId="77777777" w:rsidR="00D00201" w:rsidRPr="00A9618B" w:rsidRDefault="00D00201" w:rsidP="00D00201">
      <w:pPr>
        <w:ind w:firstLineChars="400" w:firstLine="840"/>
        <w:rPr>
          <w:rFonts w:asciiTheme="minorEastAsia" w:hAnsiTheme="minorEastAsia"/>
        </w:rPr>
      </w:pPr>
      <w:r w:rsidRPr="00A9618B">
        <w:rPr>
          <w:rFonts w:asciiTheme="minorEastAsia" w:hAnsiTheme="minorEastAsia" w:hint="eastAsia"/>
        </w:rPr>
        <w:t>計。府では、これに該当する層を、過去１年間のギャンブル等行動から将来「ギャンブル等依存</w:t>
      </w:r>
    </w:p>
    <w:p w14:paraId="4BFF6A2D" w14:textId="77777777" w:rsidR="00D00201" w:rsidRPr="00A9618B" w:rsidRDefault="00D00201" w:rsidP="00D00201">
      <w:pPr>
        <w:ind w:firstLineChars="400" w:firstLine="840"/>
        <w:rPr>
          <w:rFonts w:asciiTheme="minorEastAsia" w:hAnsiTheme="minorEastAsia"/>
        </w:rPr>
      </w:pPr>
      <w:r w:rsidRPr="00A9618B">
        <w:rPr>
          <w:rFonts w:asciiTheme="minorEastAsia" w:hAnsiTheme="minorEastAsia" w:hint="eastAsia"/>
        </w:rPr>
        <w:t>のリスクがある人」と捉え、発生予防の観点から、上記のギャンブル等依存が疑われる人と合わ</w:t>
      </w:r>
    </w:p>
    <w:p w14:paraId="2CD6F19C" w14:textId="20992966" w:rsidR="001B7C33" w:rsidRPr="00A9618B" w:rsidRDefault="00D00201" w:rsidP="00D00201">
      <w:pPr>
        <w:ind w:firstLineChars="400" w:firstLine="840"/>
        <w:rPr>
          <w:rFonts w:asciiTheme="minorEastAsia" w:hAnsiTheme="minorEastAsia"/>
        </w:rPr>
      </w:pPr>
      <w:r w:rsidRPr="00A9618B">
        <w:rPr>
          <w:rFonts w:asciiTheme="minorEastAsia" w:hAnsiTheme="minorEastAsia" w:hint="eastAsia"/>
        </w:rPr>
        <w:t>せた割合（3.4％）について、今後の推移を把握していく。</w:t>
      </w:r>
    </w:p>
    <w:p w14:paraId="2ED5FADC" w14:textId="3FA44F06" w:rsidR="00D00201" w:rsidRPr="00A9618B" w:rsidRDefault="00D00201" w:rsidP="00D00201">
      <w:pPr>
        <w:ind w:firstLineChars="400" w:firstLine="840"/>
        <w:rPr>
          <w:rFonts w:asciiTheme="minorEastAsia" w:hAnsiTheme="minorEastAsia"/>
        </w:rPr>
      </w:pPr>
    </w:p>
    <w:tbl>
      <w:tblPr>
        <w:tblW w:w="9400" w:type="dxa"/>
        <w:tblCellMar>
          <w:left w:w="0" w:type="dxa"/>
          <w:right w:w="0" w:type="dxa"/>
        </w:tblCellMar>
        <w:tblLook w:val="0600" w:firstRow="0" w:lastRow="0" w:firstColumn="0" w:lastColumn="0" w:noHBand="1" w:noVBand="1"/>
      </w:tblPr>
      <w:tblGrid>
        <w:gridCol w:w="320"/>
        <w:gridCol w:w="1240"/>
        <w:gridCol w:w="4820"/>
        <w:gridCol w:w="1540"/>
        <w:gridCol w:w="1480"/>
      </w:tblGrid>
      <w:tr w:rsidR="00D00201" w:rsidRPr="00A9618B" w14:paraId="21DA54D6" w14:textId="77777777" w:rsidTr="00D00201">
        <w:trPr>
          <w:trHeight w:val="340"/>
        </w:trPr>
        <w:tc>
          <w:tcPr>
            <w:tcW w:w="9400" w:type="dxa"/>
            <w:gridSpan w:val="5"/>
            <w:tcBorders>
              <w:top w:val="single" w:sz="8" w:space="0" w:color="FFFFFF"/>
              <w:left w:val="single" w:sz="8" w:space="0" w:color="FFFFFF"/>
              <w:bottom w:val="single" w:sz="8" w:space="0" w:color="558ED5"/>
              <w:right w:val="single" w:sz="8" w:space="0" w:color="FFFFFF"/>
            </w:tcBorders>
            <w:shd w:val="clear" w:color="auto" w:fill="558ED5"/>
            <w:tcMar>
              <w:top w:w="71" w:type="dxa"/>
              <w:left w:w="141" w:type="dxa"/>
              <w:bottom w:w="71" w:type="dxa"/>
              <w:right w:w="141" w:type="dxa"/>
            </w:tcMar>
            <w:hideMark/>
          </w:tcPr>
          <w:p w14:paraId="001E34C0" w14:textId="77777777" w:rsidR="00D00201" w:rsidRPr="00A9618B" w:rsidRDefault="00D00201" w:rsidP="00D00201">
            <w:pPr>
              <w:rPr>
                <w:rFonts w:asciiTheme="minorEastAsia" w:hAnsiTheme="minorEastAsia"/>
              </w:rPr>
            </w:pPr>
            <w:r w:rsidRPr="00A9618B">
              <w:rPr>
                <w:rFonts w:asciiTheme="minorEastAsia" w:hAnsiTheme="minorEastAsia" w:hint="eastAsia"/>
                <w:b/>
                <w:bCs/>
              </w:rPr>
              <w:t>＜推 計＞</w:t>
            </w:r>
          </w:p>
        </w:tc>
      </w:tr>
      <w:tr w:rsidR="00D00201" w:rsidRPr="00A9618B" w14:paraId="74E5BD1B" w14:textId="77777777" w:rsidTr="00D00201">
        <w:trPr>
          <w:trHeight w:val="397"/>
        </w:trPr>
        <w:tc>
          <w:tcPr>
            <w:tcW w:w="320" w:type="dxa"/>
            <w:tcBorders>
              <w:top w:val="single" w:sz="8" w:space="0" w:color="558ED5"/>
              <w:left w:val="single" w:sz="8" w:space="0" w:color="FFFFFF"/>
              <w:bottom w:val="single" w:sz="8" w:space="0" w:color="558ED5"/>
              <w:right w:val="single" w:sz="8" w:space="0" w:color="FFFFFF"/>
            </w:tcBorders>
            <w:shd w:val="clear" w:color="auto" w:fill="558ED5"/>
            <w:tcMar>
              <w:top w:w="71" w:type="dxa"/>
              <w:left w:w="141" w:type="dxa"/>
              <w:bottom w:w="71" w:type="dxa"/>
              <w:right w:w="141" w:type="dxa"/>
            </w:tcMar>
            <w:vAlign w:val="center"/>
            <w:hideMark/>
          </w:tcPr>
          <w:p w14:paraId="4FF55A3A" w14:textId="77777777" w:rsidR="00D00201" w:rsidRPr="00A9618B" w:rsidRDefault="00D00201" w:rsidP="00D00201">
            <w:pPr>
              <w:rPr>
                <w:rFonts w:asciiTheme="minorEastAsia" w:hAnsiTheme="minorEastAsia"/>
              </w:rPr>
            </w:pPr>
          </w:p>
        </w:tc>
        <w:tc>
          <w:tcPr>
            <w:tcW w:w="1240" w:type="dxa"/>
            <w:tcBorders>
              <w:top w:val="single" w:sz="8" w:space="0" w:color="FFFFFF"/>
              <w:left w:val="single" w:sz="8" w:space="0" w:color="FFFFFF"/>
              <w:bottom w:val="single" w:sz="8" w:space="0" w:color="FFFFFF"/>
              <w:right w:val="single" w:sz="8" w:space="0" w:color="FFFFFF"/>
            </w:tcBorders>
            <w:shd w:val="clear" w:color="auto" w:fill="2F5597"/>
            <w:tcMar>
              <w:top w:w="72" w:type="dxa"/>
              <w:left w:w="72" w:type="dxa"/>
              <w:bottom w:w="72" w:type="dxa"/>
              <w:right w:w="72" w:type="dxa"/>
            </w:tcMar>
            <w:vAlign w:val="center"/>
            <w:hideMark/>
          </w:tcPr>
          <w:p w14:paraId="12934C0C" w14:textId="77777777" w:rsidR="00D00201" w:rsidRPr="00A9618B" w:rsidRDefault="00D00201" w:rsidP="00D00201">
            <w:pPr>
              <w:rPr>
                <w:rFonts w:asciiTheme="minorEastAsia" w:hAnsiTheme="minorEastAsia"/>
              </w:rPr>
            </w:pPr>
            <w:r w:rsidRPr="00A9618B">
              <w:rPr>
                <w:rFonts w:asciiTheme="minorEastAsia" w:hAnsiTheme="minorEastAsia" w:hint="eastAsia"/>
                <w:b/>
                <w:bCs/>
              </w:rPr>
              <w:t>SOGS</w:t>
            </w:r>
          </w:p>
        </w:tc>
        <w:tc>
          <w:tcPr>
            <w:tcW w:w="6340" w:type="dxa"/>
            <w:gridSpan w:val="2"/>
            <w:tcBorders>
              <w:top w:val="single" w:sz="8" w:space="0" w:color="FFFFFF"/>
              <w:left w:val="single" w:sz="8" w:space="0" w:color="FFFFFF"/>
              <w:bottom w:val="single" w:sz="8" w:space="0" w:color="FFFFFF"/>
              <w:right w:val="single" w:sz="8" w:space="0" w:color="FFFFFF"/>
            </w:tcBorders>
            <w:shd w:val="clear" w:color="auto" w:fill="2F5597"/>
            <w:tcMar>
              <w:top w:w="72" w:type="dxa"/>
              <w:left w:w="72" w:type="dxa"/>
              <w:bottom w:w="72" w:type="dxa"/>
              <w:right w:w="72" w:type="dxa"/>
            </w:tcMar>
            <w:vAlign w:val="center"/>
            <w:hideMark/>
          </w:tcPr>
          <w:p w14:paraId="37D92E32" w14:textId="77777777" w:rsidR="00D00201" w:rsidRPr="00A9618B" w:rsidRDefault="00D00201" w:rsidP="00D00201">
            <w:pPr>
              <w:rPr>
                <w:rFonts w:asciiTheme="minorEastAsia" w:hAnsiTheme="minorEastAsia"/>
              </w:rPr>
            </w:pPr>
            <w:r w:rsidRPr="00A9618B">
              <w:rPr>
                <w:rFonts w:asciiTheme="minorEastAsia" w:hAnsiTheme="minorEastAsia" w:hint="eastAsia"/>
                <w:b/>
                <w:bCs/>
              </w:rPr>
              <w:t>割　合</w:t>
            </w:r>
          </w:p>
        </w:tc>
        <w:tc>
          <w:tcPr>
            <w:tcW w:w="1480" w:type="dxa"/>
            <w:tcBorders>
              <w:top w:val="single" w:sz="8" w:space="0" w:color="FFFFFF"/>
              <w:left w:val="single" w:sz="8" w:space="0" w:color="FFFFFF"/>
              <w:bottom w:val="single" w:sz="8" w:space="0" w:color="FFFFFF"/>
              <w:right w:val="single" w:sz="8" w:space="0" w:color="FFFFFF"/>
            </w:tcBorders>
            <w:shd w:val="clear" w:color="auto" w:fill="2F5597"/>
            <w:tcMar>
              <w:top w:w="72" w:type="dxa"/>
              <w:left w:w="72" w:type="dxa"/>
              <w:bottom w:w="72" w:type="dxa"/>
              <w:right w:w="72" w:type="dxa"/>
            </w:tcMar>
            <w:vAlign w:val="center"/>
            <w:hideMark/>
          </w:tcPr>
          <w:p w14:paraId="21CDF2BB" w14:textId="77777777" w:rsidR="00D00201" w:rsidRPr="00A9618B" w:rsidRDefault="00D00201" w:rsidP="00D00201">
            <w:pPr>
              <w:rPr>
                <w:rFonts w:asciiTheme="minorEastAsia" w:hAnsiTheme="minorEastAsia"/>
              </w:rPr>
            </w:pPr>
            <w:r w:rsidRPr="00A9618B">
              <w:rPr>
                <w:rFonts w:asciiTheme="minorEastAsia" w:hAnsiTheme="minorEastAsia" w:hint="eastAsia"/>
                <w:b/>
                <w:bCs/>
              </w:rPr>
              <w:t>参考推計値</w:t>
            </w:r>
          </w:p>
        </w:tc>
      </w:tr>
      <w:tr w:rsidR="00D00201" w:rsidRPr="00A9618B" w14:paraId="2E1AEFA0" w14:textId="77777777" w:rsidTr="00D00201">
        <w:trPr>
          <w:trHeight w:val="583"/>
        </w:trPr>
        <w:tc>
          <w:tcPr>
            <w:tcW w:w="320" w:type="dxa"/>
            <w:tcBorders>
              <w:top w:val="single" w:sz="8" w:space="0" w:color="558ED5"/>
              <w:left w:val="single" w:sz="8" w:space="0" w:color="FFFFFF"/>
              <w:bottom w:val="single" w:sz="8" w:space="0" w:color="FFFFFF"/>
              <w:right w:val="single" w:sz="8" w:space="0" w:color="FFFFFF"/>
            </w:tcBorders>
            <w:shd w:val="clear" w:color="auto" w:fill="558ED5"/>
            <w:tcMar>
              <w:top w:w="71" w:type="dxa"/>
              <w:left w:w="141" w:type="dxa"/>
              <w:bottom w:w="71" w:type="dxa"/>
              <w:right w:w="141" w:type="dxa"/>
            </w:tcMar>
            <w:vAlign w:val="center"/>
            <w:hideMark/>
          </w:tcPr>
          <w:p w14:paraId="2C94B876" w14:textId="77777777" w:rsidR="00D00201" w:rsidRPr="00A9618B" w:rsidRDefault="00D00201" w:rsidP="00D00201">
            <w:pPr>
              <w:rPr>
                <w:rFonts w:asciiTheme="minorEastAsia" w:hAnsiTheme="minorEastAsia"/>
              </w:rPr>
            </w:pPr>
          </w:p>
        </w:tc>
        <w:tc>
          <w:tcPr>
            <w:tcW w:w="1240" w:type="dxa"/>
            <w:tcBorders>
              <w:top w:val="single" w:sz="8" w:space="0" w:color="FFFFFF"/>
              <w:left w:val="single" w:sz="8" w:space="0" w:color="FFFFFF"/>
              <w:bottom w:val="single" w:sz="8" w:space="0" w:color="FFFFFF"/>
              <w:right w:val="single" w:sz="8" w:space="0" w:color="FFFFFF"/>
            </w:tcBorders>
            <w:shd w:val="clear" w:color="auto" w:fill="B7DEE8"/>
            <w:tcMar>
              <w:top w:w="72" w:type="dxa"/>
              <w:left w:w="72" w:type="dxa"/>
              <w:bottom w:w="72" w:type="dxa"/>
              <w:right w:w="72" w:type="dxa"/>
            </w:tcMar>
            <w:vAlign w:val="center"/>
            <w:hideMark/>
          </w:tcPr>
          <w:p w14:paraId="60753FE3" w14:textId="77777777" w:rsidR="00D00201" w:rsidRPr="00A9618B" w:rsidRDefault="00D00201" w:rsidP="00D00201">
            <w:pPr>
              <w:rPr>
                <w:rFonts w:asciiTheme="minorEastAsia" w:hAnsiTheme="minorEastAsia"/>
              </w:rPr>
            </w:pPr>
            <w:r w:rsidRPr="00A9618B">
              <w:rPr>
                <w:rFonts w:asciiTheme="minorEastAsia" w:hAnsiTheme="minorEastAsia" w:hint="eastAsia"/>
              </w:rPr>
              <w:t>５点以上</w:t>
            </w:r>
          </w:p>
        </w:tc>
        <w:tc>
          <w:tcPr>
            <w:tcW w:w="4820" w:type="dxa"/>
            <w:tcBorders>
              <w:top w:val="single" w:sz="8" w:space="0" w:color="FFFFFF"/>
              <w:left w:val="single" w:sz="8" w:space="0" w:color="FFFFFF"/>
              <w:bottom w:val="single" w:sz="8" w:space="0" w:color="FFFFFF"/>
              <w:right w:val="single" w:sz="18" w:space="0" w:color="FFFFFF"/>
            </w:tcBorders>
            <w:shd w:val="clear" w:color="auto" w:fill="B7DEE8"/>
            <w:tcMar>
              <w:top w:w="72" w:type="dxa"/>
              <w:left w:w="72" w:type="dxa"/>
              <w:bottom w:w="72" w:type="dxa"/>
              <w:right w:w="72" w:type="dxa"/>
            </w:tcMar>
            <w:vAlign w:val="center"/>
            <w:hideMark/>
          </w:tcPr>
          <w:p w14:paraId="0D20CA13" w14:textId="77777777" w:rsidR="00D00201" w:rsidRPr="00A9618B" w:rsidRDefault="00D00201" w:rsidP="00D00201">
            <w:pPr>
              <w:rPr>
                <w:rFonts w:asciiTheme="minorEastAsia" w:hAnsiTheme="minorEastAsia"/>
              </w:rPr>
            </w:pPr>
            <w:r w:rsidRPr="00A9618B">
              <w:rPr>
                <w:rFonts w:asciiTheme="minorEastAsia" w:hAnsiTheme="minorEastAsia" w:hint="eastAsia"/>
              </w:rPr>
              <w:t>ギャンブル等依存が疑われる人 ⇒ 成人の</w:t>
            </w:r>
            <w:r w:rsidRPr="00A9618B">
              <w:rPr>
                <w:rFonts w:asciiTheme="minorEastAsia" w:hAnsiTheme="minorEastAsia" w:hint="eastAsia"/>
                <w:b/>
                <w:bCs/>
                <w:u w:val="single"/>
              </w:rPr>
              <w:t>1.9％</w:t>
            </w:r>
          </w:p>
        </w:tc>
        <w:tc>
          <w:tcPr>
            <w:tcW w:w="1540" w:type="dxa"/>
            <w:vMerge w:val="restart"/>
            <w:tcBorders>
              <w:top w:val="single" w:sz="18" w:space="0" w:color="FFFFFF"/>
              <w:left w:val="single" w:sz="18" w:space="0" w:color="FFFFFF"/>
              <w:bottom w:val="single" w:sz="18" w:space="0" w:color="FFFFFF"/>
              <w:right w:val="single" w:sz="18" w:space="0" w:color="FFFFFF"/>
            </w:tcBorders>
            <w:shd w:val="clear" w:color="auto" w:fill="B7DEE8"/>
            <w:tcMar>
              <w:top w:w="71" w:type="dxa"/>
              <w:left w:w="141" w:type="dxa"/>
              <w:bottom w:w="71" w:type="dxa"/>
              <w:right w:w="141" w:type="dxa"/>
            </w:tcMar>
            <w:vAlign w:val="center"/>
            <w:hideMark/>
          </w:tcPr>
          <w:p w14:paraId="3DF4EFE1" w14:textId="77777777" w:rsidR="00D00201" w:rsidRPr="00A9618B" w:rsidRDefault="00D00201" w:rsidP="00D00201">
            <w:pPr>
              <w:rPr>
                <w:rFonts w:asciiTheme="minorEastAsia" w:hAnsiTheme="minorEastAsia"/>
              </w:rPr>
            </w:pPr>
            <w:r w:rsidRPr="00A9618B">
              <w:rPr>
                <w:rFonts w:asciiTheme="minorEastAsia" w:hAnsiTheme="minorEastAsia" w:hint="eastAsia"/>
              </w:rPr>
              <w:t>成人の</w:t>
            </w:r>
          </w:p>
          <w:p w14:paraId="78A34E52" w14:textId="77777777" w:rsidR="00D00201" w:rsidRPr="00A9618B" w:rsidRDefault="00D00201" w:rsidP="00D00201">
            <w:pPr>
              <w:rPr>
                <w:rFonts w:asciiTheme="minorEastAsia" w:hAnsiTheme="minorEastAsia"/>
              </w:rPr>
            </w:pPr>
            <w:r w:rsidRPr="00A9618B">
              <w:rPr>
                <w:rFonts w:asciiTheme="minorEastAsia" w:hAnsiTheme="minorEastAsia" w:hint="eastAsia"/>
                <w:b/>
                <w:bCs/>
                <w:u w:val="single"/>
              </w:rPr>
              <w:t>3.4%</w:t>
            </w:r>
          </w:p>
        </w:tc>
        <w:tc>
          <w:tcPr>
            <w:tcW w:w="1480" w:type="dxa"/>
            <w:tcBorders>
              <w:top w:val="single" w:sz="8" w:space="0" w:color="FFFFFF"/>
              <w:left w:val="single" w:sz="18" w:space="0" w:color="FFFFFF"/>
              <w:bottom w:val="single" w:sz="8" w:space="0" w:color="FFFFFF"/>
              <w:right w:val="single" w:sz="8" w:space="0" w:color="FFFFFF"/>
            </w:tcBorders>
            <w:shd w:val="clear" w:color="auto" w:fill="B7DEE8"/>
            <w:tcMar>
              <w:top w:w="72" w:type="dxa"/>
              <w:left w:w="72" w:type="dxa"/>
              <w:bottom w:w="72" w:type="dxa"/>
              <w:right w:w="72" w:type="dxa"/>
            </w:tcMar>
            <w:vAlign w:val="center"/>
            <w:hideMark/>
          </w:tcPr>
          <w:p w14:paraId="2C0099D9" w14:textId="77777777" w:rsidR="00D00201" w:rsidRPr="00A9618B" w:rsidRDefault="00D00201" w:rsidP="00D00201">
            <w:pPr>
              <w:rPr>
                <w:rFonts w:asciiTheme="minorEastAsia" w:hAnsiTheme="minorEastAsia"/>
              </w:rPr>
            </w:pPr>
            <w:r w:rsidRPr="00A9618B">
              <w:rPr>
                <w:rFonts w:asciiTheme="minorEastAsia" w:hAnsiTheme="minorEastAsia" w:hint="eastAsia"/>
              </w:rPr>
              <w:t>約14.3万人</w:t>
            </w:r>
          </w:p>
        </w:tc>
      </w:tr>
      <w:tr w:rsidR="00D00201" w:rsidRPr="00A9618B" w14:paraId="446EEB93" w14:textId="77777777" w:rsidTr="00D00201">
        <w:trPr>
          <w:trHeight w:val="583"/>
        </w:trPr>
        <w:tc>
          <w:tcPr>
            <w:tcW w:w="320" w:type="dxa"/>
            <w:tcBorders>
              <w:top w:val="single" w:sz="8" w:space="0" w:color="FFFFFF"/>
              <w:left w:val="single" w:sz="8" w:space="0" w:color="FFFFFF"/>
              <w:bottom w:val="single" w:sz="8" w:space="0" w:color="FFFFFF"/>
              <w:right w:val="single" w:sz="8" w:space="0" w:color="FFFFFF"/>
            </w:tcBorders>
            <w:shd w:val="clear" w:color="auto" w:fill="558ED5"/>
            <w:tcMar>
              <w:top w:w="71" w:type="dxa"/>
              <w:left w:w="141" w:type="dxa"/>
              <w:bottom w:w="71" w:type="dxa"/>
              <w:right w:w="141" w:type="dxa"/>
            </w:tcMar>
            <w:vAlign w:val="center"/>
            <w:hideMark/>
          </w:tcPr>
          <w:p w14:paraId="5A67A623" w14:textId="77777777" w:rsidR="00D00201" w:rsidRPr="00A9618B" w:rsidRDefault="00D00201" w:rsidP="00D00201">
            <w:pPr>
              <w:rPr>
                <w:rFonts w:asciiTheme="minorEastAsia" w:hAnsiTheme="minorEastAsia"/>
              </w:rPr>
            </w:pPr>
          </w:p>
        </w:tc>
        <w:tc>
          <w:tcPr>
            <w:tcW w:w="1240" w:type="dxa"/>
            <w:tcBorders>
              <w:top w:val="single" w:sz="8" w:space="0" w:color="FFFFFF"/>
              <w:left w:val="single" w:sz="8" w:space="0" w:color="FFFFFF"/>
              <w:bottom w:val="single" w:sz="8" w:space="0" w:color="FFFFFF"/>
              <w:right w:val="single" w:sz="8" w:space="0" w:color="FFFFFF"/>
            </w:tcBorders>
            <w:shd w:val="clear" w:color="auto" w:fill="B7DEE8"/>
            <w:tcMar>
              <w:top w:w="72" w:type="dxa"/>
              <w:left w:w="72" w:type="dxa"/>
              <w:bottom w:w="72" w:type="dxa"/>
              <w:right w:w="72" w:type="dxa"/>
            </w:tcMar>
            <w:vAlign w:val="center"/>
            <w:hideMark/>
          </w:tcPr>
          <w:p w14:paraId="555D84D3" w14:textId="77777777" w:rsidR="00D00201" w:rsidRPr="00A9618B" w:rsidRDefault="00D00201" w:rsidP="00D00201">
            <w:pPr>
              <w:rPr>
                <w:rFonts w:asciiTheme="minorEastAsia" w:hAnsiTheme="minorEastAsia"/>
              </w:rPr>
            </w:pPr>
            <w:r w:rsidRPr="00A9618B">
              <w:rPr>
                <w:rFonts w:asciiTheme="minorEastAsia" w:hAnsiTheme="minorEastAsia" w:hint="eastAsia"/>
              </w:rPr>
              <w:t>３~４点</w:t>
            </w:r>
          </w:p>
        </w:tc>
        <w:tc>
          <w:tcPr>
            <w:tcW w:w="4820" w:type="dxa"/>
            <w:tcBorders>
              <w:top w:val="single" w:sz="8" w:space="0" w:color="FFFFFF"/>
              <w:left w:val="single" w:sz="8" w:space="0" w:color="FFFFFF"/>
              <w:bottom w:val="single" w:sz="8" w:space="0" w:color="FFFFFF"/>
              <w:right w:val="single" w:sz="18" w:space="0" w:color="FFFFFF"/>
            </w:tcBorders>
            <w:shd w:val="clear" w:color="auto" w:fill="B7DEE8"/>
            <w:tcMar>
              <w:top w:w="72" w:type="dxa"/>
              <w:left w:w="72" w:type="dxa"/>
              <w:bottom w:w="72" w:type="dxa"/>
              <w:right w:w="72" w:type="dxa"/>
            </w:tcMar>
            <w:vAlign w:val="center"/>
            <w:hideMark/>
          </w:tcPr>
          <w:p w14:paraId="7FBD7302" w14:textId="77777777" w:rsidR="00D00201" w:rsidRPr="00A9618B" w:rsidRDefault="00D00201" w:rsidP="00D00201">
            <w:pPr>
              <w:rPr>
                <w:rFonts w:asciiTheme="minorEastAsia" w:hAnsiTheme="minorEastAsia"/>
              </w:rPr>
            </w:pPr>
            <w:r w:rsidRPr="00A9618B">
              <w:rPr>
                <w:rFonts w:asciiTheme="minorEastAsia" w:hAnsiTheme="minorEastAsia" w:hint="eastAsia"/>
              </w:rPr>
              <w:t>ギャンブル等依存のリスクがある人 ⇒ 成人の</w:t>
            </w:r>
            <w:r w:rsidRPr="00A9618B">
              <w:rPr>
                <w:rFonts w:asciiTheme="minorEastAsia" w:hAnsiTheme="minorEastAsia" w:hint="eastAsia"/>
                <w:b/>
                <w:bCs/>
                <w:u w:val="single"/>
              </w:rPr>
              <w:t>1.5％</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14:paraId="21F20432" w14:textId="77777777" w:rsidR="00D00201" w:rsidRPr="00A9618B" w:rsidRDefault="00D00201" w:rsidP="00D00201">
            <w:pPr>
              <w:rPr>
                <w:rFonts w:asciiTheme="minorEastAsia" w:hAnsiTheme="minorEastAsia"/>
              </w:rPr>
            </w:pPr>
          </w:p>
        </w:tc>
        <w:tc>
          <w:tcPr>
            <w:tcW w:w="1480" w:type="dxa"/>
            <w:tcBorders>
              <w:top w:val="single" w:sz="8" w:space="0" w:color="FFFFFF"/>
              <w:left w:val="single" w:sz="18" w:space="0" w:color="FFFFFF"/>
              <w:bottom w:val="single" w:sz="8" w:space="0" w:color="FFFFFF"/>
              <w:right w:val="single" w:sz="8" w:space="0" w:color="FFFFFF"/>
            </w:tcBorders>
            <w:shd w:val="clear" w:color="auto" w:fill="B7DEE8"/>
            <w:tcMar>
              <w:top w:w="72" w:type="dxa"/>
              <w:left w:w="72" w:type="dxa"/>
              <w:bottom w:w="72" w:type="dxa"/>
              <w:right w:w="72" w:type="dxa"/>
            </w:tcMar>
            <w:vAlign w:val="center"/>
            <w:hideMark/>
          </w:tcPr>
          <w:p w14:paraId="5C97BE5D" w14:textId="77777777" w:rsidR="00D00201" w:rsidRPr="00A9618B" w:rsidRDefault="00D00201" w:rsidP="00D00201">
            <w:pPr>
              <w:rPr>
                <w:rFonts w:asciiTheme="minorEastAsia" w:hAnsiTheme="minorEastAsia"/>
              </w:rPr>
            </w:pPr>
            <w:r w:rsidRPr="00A9618B">
              <w:rPr>
                <w:rFonts w:asciiTheme="minorEastAsia" w:hAnsiTheme="minorEastAsia" w:hint="eastAsia"/>
              </w:rPr>
              <w:t>約11.3万人</w:t>
            </w:r>
          </w:p>
        </w:tc>
      </w:tr>
      <w:tr w:rsidR="00D00201" w:rsidRPr="00A9618B" w14:paraId="30B7FC04" w14:textId="77777777" w:rsidTr="00D00201">
        <w:trPr>
          <w:trHeight w:val="1826"/>
        </w:trPr>
        <w:tc>
          <w:tcPr>
            <w:tcW w:w="9400" w:type="dxa"/>
            <w:gridSpan w:val="5"/>
            <w:tcBorders>
              <w:top w:val="single" w:sz="8" w:space="0" w:color="FFFFFF"/>
              <w:left w:val="single" w:sz="18" w:space="0" w:color="FFFFFF"/>
              <w:bottom w:val="single" w:sz="18" w:space="0" w:color="FFFFFF"/>
              <w:right w:val="single" w:sz="8" w:space="0" w:color="FFFFFF"/>
            </w:tcBorders>
            <w:shd w:val="clear" w:color="auto" w:fill="D9D9D9"/>
            <w:tcMar>
              <w:top w:w="71" w:type="dxa"/>
              <w:left w:w="141" w:type="dxa"/>
              <w:bottom w:w="71" w:type="dxa"/>
              <w:right w:w="141" w:type="dxa"/>
            </w:tcMar>
            <w:vAlign w:val="center"/>
            <w:hideMark/>
          </w:tcPr>
          <w:p w14:paraId="10327268" w14:textId="61A482BB" w:rsidR="00D00201" w:rsidRPr="00A9618B" w:rsidRDefault="00D00201" w:rsidP="00D00201">
            <w:pPr>
              <w:rPr>
                <w:rFonts w:asciiTheme="minorEastAsia" w:hAnsiTheme="minorEastAsia"/>
                <w:b/>
              </w:rPr>
            </w:pPr>
            <w:r w:rsidRPr="00A9618B">
              <w:rPr>
                <w:rFonts w:asciiTheme="minorEastAsia" w:hAnsiTheme="minorEastAsia" w:hint="eastAsia"/>
                <w:b/>
              </w:rPr>
              <w:t>＜注釈＞</w:t>
            </w:r>
          </w:p>
          <w:p w14:paraId="6E502E8E" w14:textId="511AE790" w:rsidR="00A9618B" w:rsidRPr="00A9618B" w:rsidRDefault="00A9618B" w:rsidP="00D00201">
            <w:pPr>
              <w:numPr>
                <w:ilvl w:val="0"/>
                <w:numId w:val="1"/>
              </w:numPr>
              <w:rPr>
                <w:rFonts w:asciiTheme="minorEastAsia" w:hAnsiTheme="minorEastAsia"/>
              </w:rPr>
            </w:pPr>
            <w:r w:rsidRPr="00A9618B">
              <w:rPr>
                <w:rFonts w:asciiTheme="minorEastAsia" w:hAnsiTheme="minorEastAsia" w:hint="eastAsia"/>
                <w:b/>
                <w:bCs/>
              </w:rPr>
              <w:t>府実態調査は、大阪府内の住民基本台帳から無作為に抽出した18歳以上の18,000名を対象に、3,886人（回収率21.6％）より</w:t>
            </w:r>
            <w:r w:rsidRPr="00A9618B">
              <w:rPr>
                <w:rFonts w:asciiTheme="minorEastAsia" w:hAnsiTheme="minorEastAsia" w:hint="eastAsia"/>
                <w:b/>
                <w:bCs/>
              </w:rPr>
              <w:br/>
              <w:t>回答を得、有効票は3,785票（有効回答率21.0％）であった。</w:t>
            </w:r>
          </w:p>
          <w:p w14:paraId="1516FAB8" w14:textId="77777777" w:rsidR="00A9618B" w:rsidRPr="00A9618B" w:rsidRDefault="00A9618B" w:rsidP="00D00201">
            <w:pPr>
              <w:numPr>
                <w:ilvl w:val="0"/>
                <w:numId w:val="1"/>
              </w:numPr>
              <w:rPr>
                <w:rFonts w:asciiTheme="minorEastAsia" w:hAnsiTheme="minorEastAsia"/>
              </w:rPr>
            </w:pPr>
            <w:r w:rsidRPr="00A9618B">
              <w:rPr>
                <w:rFonts w:asciiTheme="minorEastAsia" w:hAnsiTheme="minorEastAsia" w:hint="eastAsia"/>
                <w:b/>
                <w:bCs/>
              </w:rPr>
              <w:t>国実態調査 の報告書（R3.8公表）における、過去１年間にギャンブル等依存が疑われる者の割合は2.2％であった。</w:t>
            </w:r>
          </w:p>
          <w:p w14:paraId="2D9D2582" w14:textId="77777777" w:rsidR="00A9618B" w:rsidRPr="00A9618B" w:rsidRDefault="00A9618B" w:rsidP="00D00201">
            <w:pPr>
              <w:numPr>
                <w:ilvl w:val="0"/>
                <w:numId w:val="1"/>
              </w:numPr>
              <w:rPr>
                <w:rFonts w:asciiTheme="minorEastAsia" w:hAnsiTheme="minorEastAsia"/>
              </w:rPr>
            </w:pPr>
            <w:r w:rsidRPr="00A9618B">
              <w:rPr>
                <w:rFonts w:asciiTheme="minorEastAsia" w:hAnsiTheme="minorEastAsia" w:hint="eastAsia"/>
                <w:b/>
                <w:bCs/>
              </w:rPr>
              <w:t>また、同報告書では、SOGSを用いた推計値は、国際的診断基準であるDSMを用いた割合より高くなることが報告されているほか、SOGSとDSM-5の基準による診断結果を比較すると、「SOGS５点以上でギャンブル障害が疑われた者の53%は、DSM-5の</w:t>
            </w:r>
            <w:r w:rsidRPr="00A9618B">
              <w:rPr>
                <w:rFonts w:asciiTheme="minorEastAsia" w:hAnsiTheme="minorEastAsia" w:hint="eastAsia"/>
                <w:b/>
                <w:bCs/>
              </w:rPr>
              <w:br/>
              <w:t>ギャンブル障害には該当しない」とする研究が紹介されている。</w:t>
            </w:r>
          </w:p>
          <w:p w14:paraId="00B4BCB4" w14:textId="77777777" w:rsidR="00A9618B" w:rsidRPr="00A9618B" w:rsidRDefault="00A9618B" w:rsidP="00D00201">
            <w:pPr>
              <w:numPr>
                <w:ilvl w:val="0"/>
                <w:numId w:val="1"/>
              </w:numPr>
              <w:rPr>
                <w:rFonts w:asciiTheme="minorEastAsia" w:hAnsiTheme="minorEastAsia"/>
              </w:rPr>
            </w:pPr>
            <w:r w:rsidRPr="00A9618B">
              <w:rPr>
                <w:rFonts w:asciiTheme="minorEastAsia" w:hAnsiTheme="minorEastAsia" w:hint="eastAsia"/>
                <w:b/>
                <w:bCs/>
              </w:rPr>
              <w:t>なお、上記割合は、95％信頼区間（同じ調査を100回実施した場合、95回はその区間内になることを意味する。国実態調査では1.9-2.5、府実態調査(SOGS５点~)では1.5-2.3。）の間で変動する可能性がある。</w:t>
            </w:r>
          </w:p>
        </w:tc>
      </w:tr>
    </w:tbl>
    <w:p w14:paraId="1FD92B13" w14:textId="41669845" w:rsidR="00C240A9" w:rsidRPr="00A9618B" w:rsidRDefault="00C240A9">
      <w:pPr>
        <w:rPr>
          <w:rFonts w:asciiTheme="minorEastAsia" w:hAnsiTheme="minorEastAsia"/>
        </w:rPr>
      </w:pPr>
    </w:p>
    <w:p w14:paraId="17EC65B0" w14:textId="76B24241" w:rsidR="00C61EFD" w:rsidRPr="00A9618B" w:rsidRDefault="00C61EFD">
      <w:pPr>
        <w:rPr>
          <w:rFonts w:asciiTheme="minorEastAsia" w:hAnsiTheme="minorEastAsia"/>
          <w:b/>
        </w:rPr>
      </w:pPr>
      <w:r w:rsidRPr="00A9618B">
        <w:rPr>
          <w:rFonts w:asciiTheme="minorEastAsia" w:hAnsiTheme="minorEastAsia" w:hint="eastAsia"/>
          <w:b/>
        </w:rPr>
        <w:t>３.　基本的な考え方と具体的な取組み</w:t>
      </w:r>
    </w:p>
    <w:p w14:paraId="2FA4B365" w14:textId="5C83063A" w:rsidR="00C61EFD" w:rsidRPr="00A9618B" w:rsidRDefault="00C61EFD">
      <w:pPr>
        <w:rPr>
          <w:rFonts w:asciiTheme="minorEastAsia" w:hAnsiTheme="minorEastAsia"/>
        </w:rPr>
      </w:pPr>
    </w:p>
    <w:p w14:paraId="2992C56D" w14:textId="041EFADB" w:rsidR="00C61EFD" w:rsidRPr="00C63DC9" w:rsidRDefault="00C61EFD">
      <w:pPr>
        <w:rPr>
          <w:rFonts w:asciiTheme="minorEastAsia" w:hAnsiTheme="minorEastAsia"/>
          <w:b/>
        </w:rPr>
      </w:pPr>
      <w:r w:rsidRPr="00C63DC9">
        <w:rPr>
          <w:rFonts w:asciiTheme="minorEastAsia" w:hAnsiTheme="minorEastAsia" w:hint="eastAsia"/>
          <w:b/>
        </w:rPr>
        <w:t>●基本的な考え方</w:t>
      </w:r>
    </w:p>
    <w:p w14:paraId="729DE061" w14:textId="77777777" w:rsidR="00C61EFD" w:rsidRPr="00A9618B" w:rsidRDefault="00C61EFD">
      <w:pPr>
        <w:rPr>
          <w:rFonts w:asciiTheme="minorEastAsia" w:hAnsiTheme="minorEastAsia"/>
        </w:rPr>
      </w:pPr>
      <w:r w:rsidRPr="00A9618B">
        <w:rPr>
          <w:rFonts w:asciiTheme="minorEastAsia" w:hAnsiTheme="minorEastAsia" w:hint="eastAsia"/>
        </w:rPr>
        <w:t xml:space="preserve">　基本理念や現状と課題等を踏まえ、第１期計画での５つの基本方針に、調査・分析の推進と人材の育成</w:t>
      </w:r>
    </w:p>
    <w:p w14:paraId="33CCC833" w14:textId="77777777" w:rsidR="00C61EFD" w:rsidRPr="00A9618B" w:rsidRDefault="00C61EFD" w:rsidP="00C61EFD">
      <w:pPr>
        <w:ind w:firstLineChars="100" w:firstLine="210"/>
        <w:rPr>
          <w:rFonts w:asciiTheme="minorEastAsia" w:hAnsiTheme="minorEastAsia"/>
        </w:rPr>
      </w:pPr>
      <w:r w:rsidRPr="00A9618B">
        <w:rPr>
          <w:rFonts w:asciiTheme="minorEastAsia" w:hAnsiTheme="minorEastAsia" w:hint="eastAsia"/>
        </w:rPr>
        <w:t>を加えた７つの基本方針に沿って、９つの重点施策を展開し、ギャンブル等依存症対策の更なる強化を</w:t>
      </w:r>
    </w:p>
    <w:p w14:paraId="338A4594" w14:textId="2DB5D583" w:rsidR="00C61EFD" w:rsidRPr="00A9618B" w:rsidRDefault="00C61EFD" w:rsidP="00C61EFD">
      <w:pPr>
        <w:ind w:firstLineChars="100" w:firstLine="210"/>
        <w:rPr>
          <w:rFonts w:asciiTheme="minorEastAsia" w:hAnsiTheme="minorEastAsia"/>
        </w:rPr>
      </w:pPr>
      <w:r w:rsidRPr="00A9618B">
        <w:rPr>
          <w:rFonts w:asciiTheme="minorEastAsia" w:hAnsiTheme="minorEastAsia" w:hint="eastAsia"/>
        </w:rPr>
        <w:lastRenderedPageBreak/>
        <w:t>図る。</w:t>
      </w:r>
    </w:p>
    <w:p w14:paraId="07BC5717" w14:textId="52291C8D" w:rsidR="00C61EFD" w:rsidRPr="00C63DC9" w:rsidRDefault="00C61EFD">
      <w:pPr>
        <w:rPr>
          <w:rFonts w:asciiTheme="minorEastAsia" w:hAnsiTheme="minorEastAsia"/>
          <w:b/>
        </w:rPr>
      </w:pPr>
      <w:r w:rsidRPr="00C63DC9">
        <w:rPr>
          <w:rFonts w:asciiTheme="minorEastAsia" w:hAnsiTheme="minorEastAsia" w:hint="eastAsia"/>
          <w:b/>
        </w:rPr>
        <w:t>●全体目標</w:t>
      </w:r>
    </w:p>
    <w:p w14:paraId="74FA28DD" w14:textId="678139FC" w:rsidR="00C61EFD" w:rsidRPr="00A9618B" w:rsidRDefault="00C61EFD" w:rsidP="00C61EFD">
      <w:pPr>
        <w:ind w:left="210" w:hangingChars="100" w:hanging="210"/>
        <w:rPr>
          <w:rFonts w:asciiTheme="minorEastAsia" w:hAnsiTheme="minorEastAsia"/>
        </w:rPr>
      </w:pPr>
      <w:r w:rsidRPr="00A9618B">
        <w:rPr>
          <w:rFonts w:asciiTheme="minorEastAsia" w:hAnsiTheme="minorEastAsia" w:hint="eastAsia"/>
        </w:rPr>
        <w:t xml:space="preserve">　ギャンブル等依存症対策を総合的かつ計画的に推進することで、「府民の健全な生活の確保を図るとともに、府民が安心して暮らすことができる社会の実現に寄与する」ことを目標とする。</w:t>
      </w:r>
    </w:p>
    <w:p w14:paraId="3548F6BB" w14:textId="70EE9FBE" w:rsidR="00C61EFD" w:rsidRPr="00A9618B" w:rsidRDefault="00C61EFD">
      <w:pPr>
        <w:rPr>
          <w:rFonts w:asciiTheme="minorEastAsia" w:hAnsiTheme="minorEastAsia"/>
        </w:rPr>
      </w:pPr>
      <w:r w:rsidRPr="00A9618B">
        <w:rPr>
          <w:rFonts w:asciiTheme="minorEastAsia" w:hAnsiTheme="minorEastAsia" w:hint="eastAsia"/>
        </w:rPr>
        <w:t xml:space="preserve">　府実態調査結果を基に、令和７年度における以下の数値について、計画作成時点の令和４年度の数値からの増減をめざす。</w:t>
      </w:r>
    </w:p>
    <w:p w14:paraId="05C6F63A" w14:textId="3597CD3A" w:rsidR="00C61EFD" w:rsidRPr="00A9618B" w:rsidRDefault="00C61EFD">
      <w:pPr>
        <w:rPr>
          <w:rFonts w:asciiTheme="minorEastAsia" w:hAnsiTheme="minorEastAsia"/>
        </w:rPr>
      </w:pPr>
      <w:r w:rsidRPr="00A9618B">
        <w:rPr>
          <w:rFonts w:asciiTheme="minorEastAsia" w:hAnsiTheme="minorEastAsia" w:hint="eastAsia"/>
        </w:rPr>
        <w:t xml:space="preserve">　全体目標に対する指標　（１）「『ギャンブル等依存が疑われる人等』の割合」の低減</w:t>
      </w:r>
    </w:p>
    <w:p w14:paraId="564874AD" w14:textId="46163724" w:rsidR="00C61EFD" w:rsidRPr="00A9618B" w:rsidRDefault="00C61EFD" w:rsidP="00EC4E09">
      <w:pPr>
        <w:ind w:left="2940" w:hangingChars="1400" w:hanging="2940"/>
        <w:rPr>
          <w:rFonts w:asciiTheme="minorEastAsia" w:hAnsiTheme="minorEastAsia"/>
        </w:rPr>
      </w:pPr>
      <w:r w:rsidRPr="00A9618B">
        <w:rPr>
          <w:rFonts w:asciiTheme="minorEastAsia" w:hAnsiTheme="minorEastAsia" w:hint="eastAsia"/>
        </w:rPr>
        <w:t xml:space="preserve">　　　　　　　　　　　　（２）</w:t>
      </w:r>
      <w:r w:rsidR="00EC4E09" w:rsidRPr="00A9618B">
        <w:rPr>
          <w:rFonts w:asciiTheme="minorEastAsia" w:hAnsiTheme="minorEastAsia" w:hint="eastAsia"/>
        </w:rPr>
        <w:t>「『ギャンブル等依存症は病気であることを知っている』と回答した府民　の割合」の増加</w:t>
      </w:r>
    </w:p>
    <w:p w14:paraId="5D4E48FA" w14:textId="1F52840D" w:rsidR="00EC4E09" w:rsidRPr="00A9618B" w:rsidRDefault="00EC4E09" w:rsidP="00EC4E09">
      <w:pPr>
        <w:ind w:left="2940" w:hangingChars="1400" w:hanging="2940"/>
        <w:rPr>
          <w:rFonts w:asciiTheme="minorEastAsia" w:hAnsiTheme="minorEastAsia"/>
        </w:rPr>
      </w:pPr>
    </w:p>
    <w:p w14:paraId="3BA0A969" w14:textId="05041A16" w:rsidR="00EC4E09" w:rsidRPr="00C63DC9" w:rsidRDefault="00EC4E09" w:rsidP="00EC4E09">
      <w:pPr>
        <w:ind w:left="2884" w:hangingChars="1400" w:hanging="2884"/>
        <w:rPr>
          <w:rFonts w:asciiTheme="minorEastAsia" w:hAnsiTheme="minorEastAsia" w:cs="Segoe UI Symbol"/>
          <w:b/>
        </w:rPr>
      </w:pPr>
      <w:r w:rsidRPr="00C63DC9">
        <w:rPr>
          <w:rFonts w:asciiTheme="minorEastAsia" w:hAnsiTheme="minorEastAsia" w:cs="Segoe UI Symbol" w:hint="eastAsia"/>
          <w:b/>
        </w:rPr>
        <w:t>◆基本方針に基づく施策体系と個別目標</w:t>
      </w:r>
    </w:p>
    <w:p w14:paraId="09696495" w14:textId="73008632" w:rsidR="00EC4E09" w:rsidRPr="00A9618B" w:rsidRDefault="00EC4E09" w:rsidP="00EC4E09">
      <w:pPr>
        <w:ind w:left="2940" w:hangingChars="1400" w:hanging="2940"/>
        <w:rPr>
          <w:rFonts w:asciiTheme="minorEastAsia" w:hAnsiTheme="minorEastAsia" w:cs="Segoe UI Symbol"/>
        </w:rPr>
      </w:pPr>
    </w:p>
    <w:p w14:paraId="76292D30" w14:textId="166A6BAE" w:rsidR="00EC4E09" w:rsidRPr="00A9618B" w:rsidRDefault="00EC4E09" w:rsidP="00EC4E09">
      <w:pPr>
        <w:ind w:left="2884" w:hangingChars="1400" w:hanging="2884"/>
        <w:rPr>
          <w:rFonts w:asciiTheme="minorEastAsia" w:hAnsiTheme="minorEastAsia" w:cs="Segoe UI Symbol"/>
          <w:b/>
        </w:rPr>
      </w:pPr>
      <w:r w:rsidRPr="00A9618B">
        <w:rPr>
          <w:rFonts w:asciiTheme="minorEastAsia" w:hAnsiTheme="minorEastAsia" w:cs="Segoe UI Symbol" w:hint="eastAsia"/>
          <w:b/>
        </w:rPr>
        <w:t>４.　第２期計画の推進体制等</w:t>
      </w:r>
    </w:p>
    <w:p w14:paraId="3A3C5674" w14:textId="77777777" w:rsidR="00A9618B" w:rsidRPr="00A9618B" w:rsidRDefault="00A9618B" w:rsidP="00A9618B">
      <w:pPr>
        <w:rPr>
          <w:rFonts w:asciiTheme="minorEastAsia" w:hAnsiTheme="minorEastAsia"/>
        </w:rPr>
      </w:pPr>
      <w:r w:rsidRPr="00A9618B">
        <w:rPr>
          <w:rFonts w:asciiTheme="minorEastAsia" w:hAnsiTheme="minorEastAsia" w:hint="eastAsia"/>
        </w:rPr>
        <w:t>基本理念</w:t>
      </w:r>
    </w:p>
    <w:p w14:paraId="37CD75C9" w14:textId="77777777" w:rsidR="00A9618B" w:rsidRPr="00A9618B" w:rsidRDefault="00A9618B" w:rsidP="00A9618B">
      <w:pPr>
        <w:rPr>
          <w:rFonts w:asciiTheme="minorEastAsia" w:hAnsiTheme="minorEastAsia"/>
        </w:rPr>
      </w:pPr>
      <w:r w:rsidRPr="00A9618B">
        <w:rPr>
          <w:rFonts w:asciiTheme="minorEastAsia" w:hAnsiTheme="minorEastAsia" w:hint="eastAsia"/>
        </w:rPr>
        <w:t>アルコール、薬物等に対する依存に関する施策との有機的な連携を図りつつ、防止及び回復に必要な対策を講ずるとともに、ギャンブル等依存症の本人及びその家族が日常生活及び社会生活を円滑に営むことができるように支援する</w:t>
      </w:r>
    </w:p>
    <w:p w14:paraId="602C6B19"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基本方針Ⅰ普及啓発の強化</w:t>
      </w:r>
    </w:p>
    <w:p w14:paraId="23157813"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重点施策①若年層を対象とした予防啓発の強化</w:t>
      </w:r>
    </w:p>
    <w:p w14:paraId="09AC2A27" w14:textId="77777777" w:rsidR="00A9618B" w:rsidRPr="00A9618B" w:rsidRDefault="00A9618B" w:rsidP="00A9618B">
      <w:pPr>
        <w:rPr>
          <w:rFonts w:asciiTheme="minorEastAsia" w:hAnsiTheme="minorEastAsia"/>
        </w:rPr>
      </w:pPr>
      <w:r w:rsidRPr="00A9618B">
        <w:rPr>
          <w:rFonts w:asciiTheme="minorEastAsia" w:hAnsiTheme="minorEastAsia" w:hint="eastAsia"/>
        </w:rPr>
        <w:t>・児童・生徒への普及啓発</w:t>
      </w:r>
    </w:p>
    <w:p w14:paraId="2CD9C4F4" w14:textId="77777777" w:rsidR="00A9618B" w:rsidRPr="00A9618B" w:rsidRDefault="00A9618B" w:rsidP="00A9618B">
      <w:pPr>
        <w:rPr>
          <w:rFonts w:asciiTheme="minorEastAsia" w:hAnsiTheme="minorEastAsia"/>
        </w:rPr>
      </w:pPr>
      <w:r w:rsidRPr="00A9618B">
        <w:rPr>
          <w:rFonts w:asciiTheme="minorEastAsia" w:hAnsiTheme="minorEastAsia" w:hint="eastAsia"/>
        </w:rPr>
        <w:t>・大学・専修学校等への普及啓発</w:t>
      </w:r>
    </w:p>
    <w:p w14:paraId="3965939E" w14:textId="77777777" w:rsidR="00A9618B" w:rsidRPr="00A9618B" w:rsidRDefault="00A9618B" w:rsidP="00A9618B">
      <w:pPr>
        <w:rPr>
          <w:rFonts w:asciiTheme="minorEastAsia" w:hAnsiTheme="minorEastAsia"/>
        </w:rPr>
      </w:pPr>
      <w:r w:rsidRPr="00A9618B">
        <w:rPr>
          <w:rFonts w:asciiTheme="minorEastAsia" w:hAnsiTheme="minorEastAsia" w:hint="eastAsia"/>
        </w:rPr>
        <w:t>・若年層にかかわる機会がある人たちへの普及啓発</w:t>
      </w:r>
    </w:p>
    <w:p w14:paraId="08DCD91D"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重点施策②依存症に関する正しい知識の普及と理解の促進</w:t>
      </w:r>
    </w:p>
    <w:p w14:paraId="1B81D04E" w14:textId="77777777" w:rsidR="00A9618B" w:rsidRPr="00A9618B" w:rsidRDefault="00A9618B" w:rsidP="00A9618B">
      <w:pPr>
        <w:rPr>
          <w:rFonts w:asciiTheme="minorEastAsia" w:hAnsiTheme="minorEastAsia"/>
        </w:rPr>
      </w:pPr>
      <w:r w:rsidRPr="00A9618B">
        <w:rPr>
          <w:rFonts w:asciiTheme="minorEastAsia" w:hAnsiTheme="minorEastAsia" w:hint="eastAsia"/>
        </w:rPr>
        <w:t>・府民への普及啓発</w:t>
      </w:r>
    </w:p>
    <w:p w14:paraId="5E20FE9A" w14:textId="77777777" w:rsidR="00A9618B" w:rsidRPr="00A9618B" w:rsidRDefault="00A9618B" w:rsidP="00A9618B">
      <w:pPr>
        <w:rPr>
          <w:rFonts w:asciiTheme="minorEastAsia" w:hAnsiTheme="minorEastAsia"/>
        </w:rPr>
      </w:pPr>
      <w:r w:rsidRPr="00A9618B">
        <w:rPr>
          <w:rFonts w:asciiTheme="minorEastAsia" w:hAnsiTheme="minorEastAsia" w:hint="eastAsia"/>
        </w:rPr>
        <w:t>・多様な関係機関と連携したギャンブル等依存症問題啓発月間における普及啓発</w:t>
      </w:r>
    </w:p>
    <w:p w14:paraId="32D4319D"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基本方針Ⅱ相談支援体制の強化</w:t>
      </w:r>
    </w:p>
    <w:p w14:paraId="11801B72"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重点施策③依存症の本人及びその家族などへの相談支援体制の充実</w:t>
      </w:r>
    </w:p>
    <w:p w14:paraId="7AA99BDC" w14:textId="77777777" w:rsidR="00A9618B" w:rsidRPr="00A9618B" w:rsidRDefault="00A9618B" w:rsidP="00A9618B">
      <w:pPr>
        <w:rPr>
          <w:rFonts w:asciiTheme="minorEastAsia" w:hAnsiTheme="minorEastAsia"/>
        </w:rPr>
      </w:pPr>
      <w:r w:rsidRPr="00A9618B">
        <w:rPr>
          <w:rFonts w:asciiTheme="minorEastAsia" w:hAnsiTheme="minorEastAsia" w:hint="eastAsia"/>
        </w:rPr>
        <w:t>・相談窓口の整備</w:t>
      </w:r>
    </w:p>
    <w:p w14:paraId="57CD30A5" w14:textId="77777777" w:rsidR="00A9618B" w:rsidRPr="00A9618B" w:rsidRDefault="00A9618B" w:rsidP="00A9618B">
      <w:pPr>
        <w:rPr>
          <w:rFonts w:asciiTheme="minorEastAsia" w:hAnsiTheme="minorEastAsia"/>
        </w:rPr>
      </w:pPr>
      <w:r w:rsidRPr="00A9618B">
        <w:rPr>
          <w:rFonts w:asciiTheme="minorEastAsia" w:hAnsiTheme="minorEastAsia" w:hint="eastAsia"/>
        </w:rPr>
        <w:t>・本人及びその家族等への相談支援の充実</w:t>
      </w:r>
    </w:p>
    <w:p w14:paraId="75D00F2B" w14:textId="77777777" w:rsidR="00A9618B" w:rsidRPr="00A9618B" w:rsidRDefault="00A9618B" w:rsidP="00A9618B">
      <w:pPr>
        <w:rPr>
          <w:rFonts w:asciiTheme="minorEastAsia" w:hAnsiTheme="minorEastAsia"/>
        </w:rPr>
      </w:pPr>
      <w:r w:rsidRPr="00A9618B">
        <w:rPr>
          <w:rFonts w:asciiTheme="minorEastAsia" w:hAnsiTheme="minorEastAsia" w:hint="eastAsia"/>
        </w:rPr>
        <w:t>・回復支援の充実</w:t>
      </w:r>
    </w:p>
    <w:p w14:paraId="49E2CDAC"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基本方針Ⅲ治療体制の強化</w:t>
      </w:r>
    </w:p>
    <w:p w14:paraId="1CF90C70" w14:textId="07944C9A" w:rsidR="00A9618B" w:rsidRPr="00A9618B" w:rsidRDefault="00A9618B" w:rsidP="00A9618B">
      <w:pPr>
        <w:rPr>
          <w:rFonts w:asciiTheme="minorEastAsia" w:hAnsiTheme="minorEastAsia"/>
        </w:rPr>
      </w:pPr>
      <w:r w:rsidRPr="00A9618B">
        <w:rPr>
          <w:rFonts w:asciiTheme="minorEastAsia" w:hAnsiTheme="minorEastAsia" w:hint="eastAsia"/>
        </w:rPr>
        <w:t>重点施策④治療可能な</w:t>
      </w:r>
      <w:r w:rsidR="006C2A53">
        <w:rPr>
          <w:rFonts w:asciiTheme="minorEastAsia" w:hAnsiTheme="minorEastAsia" w:hint="eastAsia"/>
        </w:rPr>
        <w:t>医療機関の拡充と治療体制の構築</w:t>
      </w:r>
    </w:p>
    <w:p w14:paraId="195EED12" w14:textId="77777777" w:rsidR="00A9618B" w:rsidRPr="00A9618B" w:rsidRDefault="00A9618B" w:rsidP="00A9618B">
      <w:pPr>
        <w:rPr>
          <w:rFonts w:asciiTheme="minorEastAsia" w:hAnsiTheme="minorEastAsia"/>
        </w:rPr>
      </w:pPr>
      <w:r w:rsidRPr="00A9618B">
        <w:rPr>
          <w:rFonts w:asciiTheme="minorEastAsia" w:hAnsiTheme="minorEastAsia" w:hint="eastAsia"/>
        </w:rPr>
        <w:t>・ギャンブル等依存症の治療が可能な医療機関の充実</w:t>
      </w:r>
    </w:p>
    <w:p w14:paraId="69B990D8" w14:textId="77777777" w:rsidR="00A9618B" w:rsidRPr="00A9618B" w:rsidRDefault="00A9618B" w:rsidP="00A9618B">
      <w:pPr>
        <w:rPr>
          <w:rFonts w:asciiTheme="minorEastAsia" w:hAnsiTheme="minorEastAsia"/>
        </w:rPr>
      </w:pPr>
      <w:r w:rsidRPr="00A9618B">
        <w:rPr>
          <w:rFonts w:asciiTheme="minorEastAsia" w:hAnsiTheme="minorEastAsia" w:hint="eastAsia"/>
        </w:rPr>
        <w:t>・専門治療プログラムの普及</w:t>
      </w:r>
    </w:p>
    <w:p w14:paraId="0EF6AF59" w14:textId="77777777" w:rsidR="00A9618B" w:rsidRPr="00A9618B" w:rsidRDefault="00A9618B" w:rsidP="00A9618B">
      <w:pPr>
        <w:rPr>
          <w:rFonts w:asciiTheme="minorEastAsia" w:hAnsiTheme="minorEastAsia"/>
        </w:rPr>
      </w:pPr>
      <w:r w:rsidRPr="00A9618B">
        <w:rPr>
          <w:rFonts w:asciiTheme="minorEastAsia" w:hAnsiTheme="minorEastAsia" w:hint="eastAsia"/>
        </w:rPr>
        <w:t>・受診したギャンブル等依存症の本人等への支援</w:t>
      </w:r>
    </w:p>
    <w:p w14:paraId="28B1ACFE"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基本方針Ⅳ切れ目のない回復支援体制の強化</w:t>
      </w:r>
    </w:p>
    <w:p w14:paraId="434666F0"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重点施策⑤関係機関等との協働による切れ目のない支援の推進</w:t>
      </w:r>
    </w:p>
    <w:p w14:paraId="7EE7D6C8" w14:textId="77777777" w:rsidR="00A9618B" w:rsidRPr="00A9618B" w:rsidRDefault="00A9618B" w:rsidP="00A9618B">
      <w:pPr>
        <w:rPr>
          <w:rFonts w:asciiTheme="minorEastAsia" w:hAnsiTheme="minorEastAsia"/>
        </w:rPr>
      </w:pPr>
      <w:r w:rsidRPr="00A9618B">
        <w:rPr>
          <w:rFonts w:asciiTheme="minorEastAsia" w:hAnsiTheme="minorEastAsia" w:hint="eastAsia"/>
        </w:rPr>
        <w:t>・ネットワークの強化</w:t>
      </w:r>
    </w:p>
    <w:p w14:paraId="1F27AF71" w14:textId="77777777" w:rsidR="00A9618B" w:rsidRPr="00A9618B" w:rsidRDefault="00A9618B" w:rsidP="00A9618B">
      <w:pPr>
        <w:rPr>
          <w:rFonts w:asciiTheme="minorEastAsia" w:hAnsiTheme="minorEastAsia"/>
        </w:rPr>
      </w:pPr>
      <w:r w:rsidRPr="00A9618B">
        <w:rPr>
          <w:rFonts w:asciiTheme="minorEastAsia" w:hAnsiTheme="minorEastAsia" w:hint="eastAsia"/>
        </w:rPr>
        <w:t>・円滑な連携支援の実施</w:t>
      </w:r>
    </w:p>
    <w:p w14:paraId="50825465" w14:textId="77777777" w:rsidR="00A9618B" w:rsidRPr="00A9618B" w:rsidRDefault="00A9618B" w:rsidP="00A9618B">
      <w:pPr>
        <w:rPr>
          <w:rFonts w:asciiTheme="minorEastAsia" w:hAnsiTheme="minorEastAsia"/>
        </w:rPr>
      </w:pPr>
      <w:r w:rsidRPr="00A9618B">
        <w:rPr>
          <w:rFonts w:asciiTheme="minorEastAsia" w:hAnsiTheme="minorEastAsia" w:hint="eastAsia"/>
        </w:rPr>
        <w:lastRenderedPageBreak/>
        <w:t>重点施策⑥自助グループ・民間団体等の活動の充実</w:t>
      </w:r>
    </w:p>
    <w:p w14:paraId="32EC986F" w14:textId="77777777" w:rsidR="00A9618B" w:rsidRPr="00A9618B" w:rsidRDefault="00A9618B" w:rsidP="00A9618B">
      <w:pPr>
        <w:rPr>
          <w:rFonts w:asciiTheme="minorEastAsia" w:hAnsiTheme="minorEastAsia"/>
        </w:rPr>
      </w:pPr>
      <w:r w:rsidRPr="00A9618B">
        <w:rPr>
          <w:rFonts w:asciiTheme="minorEastAsia" w:hAnsiTheme="minorEastAsia" w:hint="eastAsia"/>
        </w:rPr>
        <w:t>・自助グループ・民間団体等が行う活動への支援</w:t>
      </w:r>
    </w:p>
    <w:p w14:paraId="39A0A9D3" w14:textId="77777777" w:rsidR="00A9618B" w:rsidRPr="00A9618B" w:rsidRDefault="00A9618B" w:rsidP="00A9618B">
      <w:pPr>
        <w:rPr>
          <w:rFonts w:asciiTheme="minorEastAsia" w:hAnsiTheme="minorEastAsia"/>
        </w:rPr>
      </w:pPr>
      <w:r w:rsidRPr="00A9618B">
        <w:rPr>
          <w:rFonts w:asciiTheme="minorEastAsia" w:hAnsiTheme="minorEastAsia" w:hint="eastAsia"/>
        </w:rPr>
        <w:t>・自助グループ・民間団体等との協働</w:t>
      </w:r>
    </w:p>
    <w:p w14:paraId="639FD2C6"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基本方針Ⅴ大阪独自の支援体制の推進</w:t>
      </w:r>
    </w:p>
    <w:p w14:paraId="0565EEF1"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重点施策⑦予防から相談、治療及び回復支援体制の推進</w:t>
      </w:r>
    </w:p>
    <w:p w14:paraId="328C5471" w14:textId="77777777" w:rsidR="00A9618B" w:rsidRPr="00A9618B" w:rsidRDefault="00A9618B" w:rsidP="00A9618B">
      <w:pPr>
        <w:rPr>
          <w:rFonts w:asciiTheme="minorEastAsia" w:hAnsiTheme="minorEastAsia"/>
        </w:rPr>
      </w:pPr>
      <w:r w:rsidRPr="00A9618B">
        <w:rPr>
          <w:rFonts w:asciiTheme="minorEastAsia" w:hAnsiTheme="minorEastAsia" w:hint="eastAsia"/>
        </w:rPr>
        <w:t>・</w:t>
      </w:r>
      <w:r w:rsidRPr="00A9618B">
        <w:rPr>
          <w:rFonts w:asciiTheme="minorEastAsia" w:hAnsiTheme="minorEastAsia"/>
        </w:rPr>
        <w:t>OATISによる取組みの推進</w:t>
      </w:r>
    </w:p>
    <w:p w14:paraId="4C903211" w14:textId="77777777" w:rsidR="00A9618B" w:rsidRPr="00A9618B" w:rsidRDefault="00A9618B" w:rsidP="00A9618B">
      <w:pPr>
        <w:rPr>
          <w:rFonts w:asciiTheme="minorEastAsia" w:hAnsiTheme="minorEastAsia"/>
        </w:rPr>
      </w:pPr>
      <w:r w:rsidRPr="00A9618B">
        <w:rPr>
          <w:rFonts w:asciiTheme="minorEastAsia" w:hAnsiTheme="minorEastAsia" w:hint="eastAsia"/>
        </w:rPr>
        <w:t>・（仮称）大阪依存症センターの整備</w:t>
      </w:r>
    </w:p>
    <w:p w14:paraId="52DD86CC"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基本方針Ⅵ調査・分析の推進</w:t>
      </w:r>
    </w:p>
    <w:p w14:paraId="17892B09"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重点施策⑧ギャンブル等依存症に関する調査・分析</w:t>
      </w:r>
    </w:p>
    <w:p w14:paraId="0444B378" w14:textId="77777777" w:rsidR="00A9618B" w:rsidRPr="00A9618B" w:rsidRDefault="00A9618B" w:rsidP="00A9618B">
      <w:pPr>
        <w:rPr>
          <w:rFonts w:asciiTheme="minorEastAsia" w:hAnsiTheme="minorEastAsia"/>
        </w:rPr>
      </w:pPr>
      <w:r w:rsidRPr="00A9618B">
        <w:rPr>
          <w:rFonts w:asciiTheme="minorEastAsia" w:hAnsiTheme="minorEastAsia" w:hint="eastAsia"/>
        </w:rPr>
        <w:t>・ギャンブル等依存症に関する実態調査</w:t>
      </w:r>
    </w:p>
    <w:p w14:paraId="5AA5A2BD" w14:textId="77777777" w:rsidR="00A9618B" w:rsidRPr="00A9618B" w:rsidRDefault="00A9618B" w:rsidP="00A9618B">
      <w:pPr>
        <w:rPr>
          <w:rFonts w:asciiTheme="minorEastAsia" w:hAnsiTheme="minorEastAsia"/>
        </w:rPr>
      </w:pPr>
      <w:r w:rsidRPr="00A9618B">
        <w:rPr>
          <w:rFonts w:asciiTheme="minorEastAsia" w:hAnsiTheme="minorEastAsia" w:hint="eastAsia"/>
        </w:rPr>
        <w:t>・ギャンブル等依存症の本人及びその家族等の実状把握</w:t>
      </w:r>
    </w:p>
    <w:p w14:paraId="1F610394" w14:textId="77777777" w:rsidR="00A9618B" w:rsidRPr="00A9618B" w:rsidRDefault="00A9618B" w:rsidP="00A9618B">
      <w:pPr>
        <w:rPr>
          <w:rFonts w:asciiTheme="minorEastAsia" w:hAnsiTheme="minorEastAsia"/>
        </w:rPr>
      </w:pPr>
      <w:r w:rsidRPr="00A9618B">
        <w:rPr>
          <w:rFonts w:asciiTheme="minorEastAsia" w:hAnsiTheme="minorEastAsia" w:hint="eastAsia"/>
        </w:rPr>
        <w:t>基本方針Ⅶ人材の養成</w:t>
      </w:r>
    </w:p>
    <w:p w14:paraId="67D31337"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重点施策⑨相談支援等を担う人材の養成</w:t>
      </w:r>
    </w:p>
    <w:p w14:paraId="279505A4" w14:textId="77777777" w:rsidR="00A9618B" w:rsidRPr="00A9618B" w:rsidRDefault="00A9618B" w:rsidP="00A9618B">
      <w:pPr>
        <w:rPr>
          <w:rFonts w:asciiTheme="minorEastAsia" w:hAnsiTheme="minorEastAsia"/>
        </w:rPr>
      </w:pPr>
      <w:r w:rsidRPr="00A9618B">
        <w:rPr>
          <w:rFonts w:asciiTheme="minorEastAsia" w:hAnsiTheme="minorEastAsia" w:hint="eastAsia"/>
        </w:rPr>
        <w:t>・段階的養成プログラムの作成</w:t>
      </w:r>
    </w:p>
    <w:p w14:paraId="1B062432" w14:textId="4FEB3684" w:rsidR="00A9618B" w:rsidRDefault="00A9618B" w:rsidP="00A9618B">
      <w:pPr>
        <w:rPr>
          <w:rFonts w:asciiTheme="minorEastAsia" w:hAnsiTheme="minorEastAsia"/>
        </w:rPr>
      </w:pPr>
      <w:r w:rsidRPr="00A9618B">
        <w:rPr>
          <w:rFonts w:asciiTheme="minorEastAsia" w:hAnsiTheme="minorEastAsia" w:hint="eastAsia"/>
        </w:rPr>
        <w:t>・様々な相談窓口などでの相談対応力の向上</w:t>
      </w:r>
    </w:p>
    <w:p w14:paraId="0D974677" w14:textId="77777777" w:rsidR="00D57CBD" w:rsidRPr="00A9618B" w:rsidRDefault="00D57CBD" w:rsidP="00A9618B">
      <w:pPr>
        <w:rPr>
          <w:rFonts w:asciiTheme="minorEastAsia" w:hAnsiTheme="minorEastAsia"/>
        </w:rPr>
      </w:pPr>
    </w:p>
    <w:p w14:paraId="53C6C593" w14:textId="76A6003F" w:rsidR="00A9618B" w:rsidRPr="00A9618B" w:rsidRDefault="00A9618B" w:rsidP="00A9618B">
      <w:pPr>
        <w:rPr>
          <w:rFonts w:asciiTheme="minorEastAsia" w:hAnsiTheme="minorEastAsia"/>
        </w:rPr>
      </w:pPr>
      <w:r w:rsidRPr="00A9618B">
        <w:rPr>
          <w:rFonts w:asciiTheme="minorEastAsia" w:hAnsiTheme="minorEastAsia" w:hint="eastAsia"/>
        </w:rPr>
        <w:t>目標</w:t>
      </w:r>
    </w:p>
    <w:p w14:paraId="0B966CC6"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重点施策①若年層を対象とした予防啓発の強化</w:t>
      </w:r>
    </w:p>
    <w:p w14:paraId="24D7AFA3" w14:textId="4272C36F" w:rsidR="00A9618B" w:rsidRPr="00A9618B" w:rsidRDefault="00D57CBD" w:rsidP="00A9618B">
      <w:pPr>
        <w:rPr>
          <w:rFonts w:asciiTheme="minorEastAsia" w:hAnsiTheme="minorEastAsia"/>
        </w:rPr>
      </w:pPr>
      <w:r>
        <w:rPr>
          <w:rFonts w:asciiTheme="minorEastAsia" w:hAnsiTheme="minorEastAsia" w:hint="eastAsia"/>
        </w:rPr>
        <w:t>指標①高等</w:t>
      </w:r>
      <w:r w:rsidR="00A9618B" w:rsidRPr="00A9618B">
        <w:rPr>
          <w:rFonts w:asciiTheme="minorEastAsia" w:hAnsiTheme="minorEastAsia" w:hint="eastAsia"/>
        </w:rPr>
        <w:t>学校等における予防啓発授業等の実施率（実施状況の把握は府立高校を対象に実施）現状</w:t>
      </w:r>
      <w:r w:rsidR="00A9618B" w:rsidRPr="00A9618B">
        <w:rPr>
          <w:rFonts w:asciiTheme="minorEastAsia" w:hAnsiTheme="minorEastAsia"/>
        </w:rPr>
        <w:t>4校（R3年度末）＊府立高校における出前授業の実施数のため参考値</w:t>
      </w:r>
    </w:p>
    <w:p w14:paraId="0179D38A" w14:textId="6D25F049" w:rsidR="00A9618B" w:rsidRPr="00A9618B" w:rsidRDefault="00A9618B" w:rsidP="00A9618B">
      <w:pPr>
        <w:rPr>
          <w:rFonts w:asciiTheme="minorEastAsia" w:hAnsiTheme="minorEastAsia"/>
        </w:rPr>
      </w:pPr>
      <w:r w:rsidRPr="00A9618B">
        <w:rPr>
          <w:rFonts w:asciiTheme="minorEastAsia" w:hAnsiTheme="minorEastAsia" w:hint="eastAsia"/>
        </w:rPr>
        <w:t>目標毎年度</w:t>
      </w:r>
      <w:r w:rsidRPr="00A9618B">
        <w:rPr>
          <w:rFonts w:asciiTheme="minorEastAsia" w:hAnsiTheme="minorEastAsia"/>
        </w:rPr>
        <w:t>100％＊R5</w:t>
      </w:r>
      <w:r w:rsidR="00D57CBD">
        <w:rPr>
          <w:rFonts w:asciiTheme="minorEastAsia" w:hAnsiTheme="minorEastAsia"/>
        </w:rPr>
        <w:t>年度は</w:t>
      </w:r>
      <w:r w:rsidR="00D57CBD">
        <w:rPr>
          <w:rFonts w:asciiTheme="minorEastAsia" w:hAnsiTheme="minorEastAsia" w:hint="eastAsia"/>
        </w:rPr>
        <w:t>実施</w:t>
      </w:r>
      <w:r w:rsidRPr="00A9618B">
        <w:rPr>
          <w:rFonts w:asciiTheme="minorEastAsia" w:hAnsiTheme="minorEastAsia"/>
        </w:rPr>
        <w:t>時期が下半期となるため半数50％</w:t>
      </w:r>
    </w:p>
    <w:p w14:paraId="39B50803" w14:textId="77777777" w:rsidR="00A9618B" w:rsidRPr="00A9618B" w:rsidRDefault="00A9618B" w:rsidP="00A9618B">
      <w:pPr>
        <w:rPr>
          <w:rFonts w:asciiTheme="minorEastAsia" w:hAnsiTheme="minorEastAsia"/>
        </w:rPr>
      </w:pPr>
      <w:r w:rsidRPr="00A9618B">
        <w:rPr>
          <w:rFonts w:asciiTheme="minorEastAsia" w:hAnsiTheme="minorEastAsia" w:hint="eastAsia"/>
        </w:rPr>
        <w:t>指標②教育向け研修の参加数（対面での研修を基本とする）現状</w:t>
      </w:r>
      <w:r w:rsidRPr="00A9618B">
        <w:rPr>
          <w:rFonts w:asciiTheme="minorEastAsia" w:hAnsiTheme="minorEastAsia"/>
        </w:rPr>
        <w:t>133名（R3年度末）＊WEB研修のみの参加数であるため参考値目標毎年度100名以上（R5-7年度末）</w:t>
      </w:r>
    </w:p>
    <w:p w14:paraId="71011B60" w14:textId="77777777" w:rsidR="00A9618B" w:rsidRPr="00A9618B" w:rsidRDefault="00A9618B" w:rsidP="00A9618B">
      <w:pPr>
        <w:rPr>
          <w:rFonts w:asciiTheme="minorEastAsia" w:hAnsiTheme="minorEastAsia"/>
        </w:rPr>
      </w:pPr>
    </w:p>
    <w:p w14:paraId="528437B2"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重点施策②依存症に関する正しい知識の普及と理解の促進</w:t>
      </w:r>
    </w:p>
    <w:p w14:paraId="35599164" w14:textId="77777777" w:rsidR="00A9618B" w:rsidRPr="00A9618B" w:rsidRDefault="00A9618B" w:rsidP="00A9618B">
      <w:pPr>
        <w:rPr>
          <w:rFonts w:asciiTheme="minorEastAsia" w:hAnsiTheme="minorEastAsia"/>
        </w:rPr>
      </w:pPr>
      <w:r w:rsidRPr="00A9618B">
        <w:rPr>
          <w:rFonts w:asciiTheme="minorEastAsia" w:hAnsiTheme="minorEastAsia" w:hint="eastAsia"/>
        </w:rPr>
        <w:t>指標①依存症総合ポータルサイトのアクセス数</w:t>
      </w:r>
    </w:p>
    <w:p w14:paraId="482B681E"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5606件（R3年度末）目標毎年度2万件以上（R５-7年度）＊R5年度は運用が下半期となるため半数の1万件</w:t>
      </w:r>
    </w:p>
    <w:p w14:paraId="444628FB" w14:textId="77777777" w:rsidR="00A9618B" w:rsidRPr="00A9618B" w:rsidRDefault="00A9618B" w:rsidP="00A9618B">
      <w:pPr>
        <w:rPr>
          <w:rFonts w:asciiTheme="minorEastAsia" w:hAnsiTheme="minorEastAsia"/>
        </w:rPr>
      </w:pPr>
      <w:r w:rsidRPr="00A9618B">
        <w:rPr>
          <w:rFonts w:asciiTheme="minorEastAsia" w:hAnsiTheme="minorEastAsia" w:hint="eastAsia"/>
        </w:rPr>
        <w:t>指標②府民セミナー・シンポジウムの参加者数</w:t>
      </w:r>
    </w:p>
    <w:p w14:paraId="529EF61B"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473名（R3年度末）目標毎年度2000名以上（R５-７年度）</w:t>
      </w:r>
    </w:p>
    <w:p w14:paraId="37544A3E" w14:textId="77777777" w:rsidR="00A9618B" w:rsidRPr="00A9618B" w:rsidRDefault="00A9618B" w:rsidP="00A9618B">
      <w:pPr>
        <w:rPr>
          <w:rFonts w:asciiTheme="minorEastAsia" w:hAnsiTheme="minorEastAsia"/>
        </w:rPr>
      </w:pPr>
    </w:p>
    <w:p w14:paraId="37B0FD99"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重点施策③依存症の本人及びその家族などへの相談支援体制の充実</w:t>
      </w:r>
    </w:p>
    <w:p w14:paraId="1BFD9E97" w14:textId="7563C914" w:rsidR="00A9618B" w:rsidRPr="00A9618B" w:rsidRDefault="00AA2BF8" w:rsidP="00A9618B">
      <w:pPr>
        <w:rPr>
          <w:rFonts w:asciiTheme="minorEastAsia" w:hAnsiTheme="minorEastAsia"/>
        </w:rPr>
      </w:pPr>
      <w:r>
        <w:rPr>
          <w:rFonts w:asciiTheme="minorEastAsia" w:hAnsiTheme="minorEastAsia" w:hint="eastAsia"/>
        </w:rPr>
        <w:t>指標相談拠点</w:t>
      </w:r>
      <w:r w:rsidR="00A9618B" w:rsidRPr="00A9618B">
        <w:rPr>
          <w:rFonts w:asciiTheme="minorEastAsia" w:hAnsiTheme="minorEastAsia" w:hint="eastAsia"/>
        </w:rPr>
        <w:t>及び「依存症ほっとライン（</w:t>
      </w:r>
      <w:r w:rsidR="00A9618B" w:rsidRPr="00A9618B">
        <w:rPr>
          <w:rFonts w:asciiTheme="minorEastAsia" w:hAnsiTheme="minorEastAsia"/>
        </w:rPr>
        <w:t>SNS相談）」の相談数</w:t>
      </w:r>
    </w:p>
    <w:p w14:paraId="6BB9CFAF" w14:textId="717325EF"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3244</w:t>
      </w:r>
      <w:r w:rsidR="007209EB">
        <w:rPr>
          <w:rFonts w:asciiTheme="minorEastAsia" w:hAnsiTheme="minorEastAsia" w:hint="eastAsia"/>
        </w:rPr>
        <w:t>件</w:t>
      </w:r>
      <w:r w:rsidRPr="00A9618B">
        <w:rPr>
          <w:rFonts w:asciiTheme="minorEastAsia" w:hAnsiTheme="minorEastAsia"/>
        </w:rPr>
        <w:t>（R4年度末見込み）目標1.5倍（R5-7 年度）</w:t>
      </w:r>
    </w:p>
    <w:p w14:paraId="52615BB1" w14:textId="77777777" w:rsidR="00A9618B" w:rsidRPr="00A9618B" w:rsidRDefault="00A9618B" w:rsidP="00A9618B">
      <w:pPr>
        <w:rPr>
          <w:rFonts w:asciiTheme="minorEastAsia" w:hAnsiTheme="minorEastAsia"/>
        </w:rPr>
      </w:pPr>
    </w:p>
    <w:p w14:paraId="7C077D86"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重点施策④治療可能な医療機関の拡充と治療体制の構築</w:t>
      </w:r>
    </w:p>
    <w:p w14:paraId="466770EB" w14:textId="77777777" w:rsidR="00A9618B" w:rsidRPr="00A9618B" w:rsidRDefault="00A9618B" w:rsidP="00A9618B">
      <w:pPr>
        <w:rPr>
          <w:rFonts w:asciiTheme="minorEastAsia" w:hAnsiTheme="minorEastAsia"/>
        </w:rPr>
      </w:pPr>
      <w:r w:rsidRPr="00A9618B">
        <w:rPr>
          <w:rFonts w:asciiTheme="minorEastAsia" w:hAnsiTheme="minorEastAsia" w:hint="eastAsia"/>
        </w:rPr>
        <w:t>指標ギャンブル等依存症を診ることができる精神科医療機関する</w:t>
      </w:r>
    </w:p>
    <w:p w14:paraId="0963CF4D"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25機関（R３年度末）目標60機関（R7年度末）</w:t>
      </w:r>
    </w:p>
    <w:p w14:paraId="55146DFA"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重点施策⑤関係機関等との協働による切れ目のない支援の推進</w:t>
      </w:r>
    </w:p>
    <w:p w14:paraId="0BCBE1B8" w14:textId="77777777" w:rsidR="00A9618B" w:rsidRPr="00A9618B" w:rsidRDefault="00A9618B" w:rsidP="00A9618B">
      <w:pPr>
        <w:rPr>
          <w:rFonts w:asciiTheme="minorEastAsia" w:hAnsiTheme="minorEastAsia"/>
        </w:rPr>
      </w:pPr>
      <w:r w:rsidRPr="00A9618B">
        <w:rPr>
          <w:rFonts w:asciiTheme="minorEastAsia" w:hAnsiTheme="minorEastAsia" w:hint="eastAsia"/>
        </w:rPr>
        <w:lastRenderedPageBreak/>
        <w:t>指標相談拠点の相談数に占める自助グループ、民間団体等への紹介率</w:t>
      </w:r>
    </w:p>
    <w:p w14:paraId="279F17C7" w14:textId="77777777" w:rsidR="00A9618B" w:rsidRPr="00A9618B" w:rsidRDefault="00A9618B" w:rsidP="00A9618B">
      <w:pPr>
        <w:rPr>
          <w:rFonts w:asciiTheme="minorEastAsia" w:hAnsiTheme="minorEastAsia"/>
        </w:rPr>
      </w:pPr>
      <w:r w:rsidRPr="00A9618B">
        <w:rPr>
          <w:rFonts w:asciiTheme="minorEastAsia" w:hAnsiTheme="minorEastAsia" w:hint="eastAsia"/>
        </w:rPr>
        <w:t>現状約</w:t>
      </w:r>
      <w:r w:rsidRPr="00A9618B">
        <w:rPr>
          <w:rFonts w:asciiTheme="minorEastAsia" w:hAnsiTheme="minorEastAsia"/>
        </w:rPr>
        <w:t>25％（R3年度末）目標50％程度（R7年度末）</w:t>
      </w:r>
    </w:p>
    <w:p w14:paraId="1D5FEF28" w14:textId="79B3D73A" w:rsidR="00A9618B" w:rsidRPr="00A9618B" w:rsidRDefault="007209EB" w:rsidP="00A9618B">
      <w:pPr>
        <w:rPr>
          <w:rFonts w:asciiTheme="minorEastAsia" w:hAnsiTheme="minorEastAsia"/>
        </w:rPr>
      </w:pPr>
      <w:r w:rsidRPr="00A9618B">
        <w:rPr>
          <w:rFonts w:asciiTheme="minorEastAsia" w:hAnsiTheme="minorEastAsia"/>
        </w:rPr>
        <w:t>＊</w:t>
      </w:r>
      <w:r w:rsidRPr="007209EB">
        <w:rPr>
          <w:rFonts w:asciiTheme="minorEastAsia" w:hAnsiTheme="minorEastAsia" w:hint="eastAsia"/>
        </w:rPr>
        <w:t>（新規の相談には、全て自助グループ等を紹介又は情報提供することとする）</w:t>
      </w:r>
    </w:p>
    <w:p w14:paraId="04669E69"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重点施策⑥自助グループ・民間団体等の活動の充実</w:t>
      </w:r>
    </w:p>
    <w:p w14:paraId="6FD7E38E" w14:textId="77777777" w:rsidR="00A9618B" w:rsidRPr="00A9618B" w:rsidRDefault="00A9618B" w:rsidP="00A9618B">
      <w:pPr>
        <w:rPr>
          <w:rFonts w:asciiTheme="minorEastAsia" w:hAnsiTheme="minorEastAsia"/>
        </w:rPr>
      </w:pPr>
      <w:r w:rsidRPr="00A9618B">
        <w:rPr>
          <w:rFonts w:asciiTheme="minorEastAsia" w:hAnsiTheme="minorEastAsia" w:hint="eastAsia"/>
        </w:rPr>
        <w:t>指標①補助金・基金を利用したギャンブル等依存症の本人及びその家族等の支援にあたる自助グループ・民間団体数</w:t>
      </w:r>
    </w:p>
    <w:p w14:paraId="4841AE61"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4団体（R3年度末）目標増加（R7年度末）</w:t>
      </w:r>
    </w:p>
    <w:p w14:paraId="1ACB9961" w14:textId="1F9BC4B9" w:rsidR="00A9618B" w:rsidRPr="00A9618B" w:rsidRDefault="00AA2BF8" w:rsidP="00A9618B">
      <w:pPr>
        <w:rPr>
          <w:rFonts w:asciiTheme="minorEastAsia" w:hAnsiTheme="minorEastAsia"/>
        </w:rPr>
      </w:pPr>
      <w:r>
        <w:rPr>
          <w:rFonts w:asciiTheme="minorEastAsia" w:hAnsiTheme="minorEastAsia" w:hint="eastAsia"/>
        </w:rPr>
        <w:t>指標②相談拠点</w:t>
      </w:r>
      <w:r w:rsidR="00A9618B" w:rsidRPr="00A9618B">
        <w:rPr>
          <w:rFonts w:asciiTheme="minorEastAsia" w:hAnsiTheme="minorEastAsia" w:hint="eastAsia"/>
        </w:rPr>
        <w:t>が実施する研修・普及啓発事業に占める自助グループ・民間団体等と連携して取り組んだ事業の割合</w:t>
      </w:r>
    </w:p>
    <w:p w14:paraId="0FC7E56C" w14:textId="77777777" w:rsidR="00A9618B" w:rsidRPr="00A9618B" w:rsidRDefault="00A9618B" w:rsidP="00A9618B">
      <w:pPr>
        <w:rPr>
          <w:rFonts w:asciiTheme="minorEastAsia" w:hAnsiTheme="minorEastAsia"/>
        </w:rPr>
      </w:pPr>
      <w:r w:rsidRPr="00A9618B">
        <w:rPr>
          <w:rFonts w:asciiTheme="minorEastAsia" w:hAnsiTheme="minorEastAsia" w:hint="eastAsia"/>
        </w:rPr>
        <w:t>現状約</w:t>
      </w:r>
      <w:r w:rsidRPr="00A9618B">
        <w:rPr>
          <w:rFonts w:asciiTheme="minorEastAsia" w:hAnsiTheme="minorEastAsia"/>
        </w:rPr>
        <w:t>33％（R3年度末）目標50％程度（R７年度末）</w:t>
      </w:r>
    </w:p>
    <w:p w14:paraId="02B92925" w14:textId="77777777" w:rsidR="00A9618B" w:rsidRPr="00A9618B" w:rsidRDefault="00A9618B" w:rsidP="00A9618B">
      <w:pPr>
        <w:rPr>
          <w:rFonts w:asciiTheme="minorEastAsia" w:hAnsiTheme="minorEastAsia"/>
        </w:rPr>
      </w:pPr>
    </w:p>
    <w:p w14:paraId="146C19CE"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重点施策⑦予防から相談、治療及び回復支援体制の推進</w:t>
      </w:r>
    </w:p>
    <w:p w14:paraId="1226B182" w14:textId="77777777" w:rsidR="00A9618B" w:rsidRPr="00A9618B" w:rsidRDefault="00A9618B" w:rsidP="00A9618B">
      <w:pPr>
        <w:rPr>
          <w:rFonts w:asciiTheme="minorEastAsia" w:hAnsiTheme="minorEastAsia"/>
        </w:rPr>
      </w:pPr>
      <w:r w:rsidRPr="00A9618B">
        <w:rPr>
          <w:rFonts w:asciiTheme="minorEastAsia" w:hAnsiTheme="minorEastAsia" w:hint="eastAsia"/>
        </w:rPr>
        <w:t>指標ワンストップ支援を提供できる機能を整備</w:t>
      </w:r>
    </w:p>
    <w:p w14:paraId="71747F25" w14:textId="77777777" w:rsidR="00A9618B" w:rsidRPr="00A9618B" w:rsidRDefault="00A9618B" w:rsidP="00A9618B">
      <w:pPr>
        <w:rPr>
          <w:rFonts w:asciiTheme="minorEastAsia" w:hAnsiTheme="minorEastAsia"/>
        </w:rPr>
      </w:pPr>
      <w:r w:rsidRPr="00A9618B">
        <w:rPr>
          <w:rFonts w:asciiTheme="minorEastAsia" w:hAnsiTheme="minorEastAsia" w:hint="eastAsia"/>
        </w:rPr>
        <w:t>目標整備完了（</w:t>
      </w:r>
      <w:r w:rsidRPr="00A9618B">
        <w:rPr>
          <w:rFonts w:asciiTheme="minorEastAsia" w:hAnsiTheme="minorEastAsia"/>
        </w:rPr>
        <w:t>IR開業まで）＊IR区域整備計画の認定等の進捗に合わせ計画的に推進</w:t>
      </w:r>
    </w:p>
    <w:p w14:paraId="1D3EB41E"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重点施策⑧ギャンブル等依存症に関する調査・分析の推進</w:t>
      </w:r>
    </w:p>
    <w:p w14:paraId="0990982D" w14:textId="77777777" w:rsidR="00A9618B" w:rsidRPr="00A9618B" w:rsidRDefault="00A9618B" w:rsidP="00A9618B">
      <w:pPr>
        <w:rPr>
          <w:rFonts w:asciiTheme="minorEastAsia" w:hAnsiTheme="minorEastAsia"/>
        </w:rPr>
      </w:pPr>
    </w:p>
    <w:p w14:paraId="0B2AAF72" w14:textId="77777777" w:rsidR="00A9618B" w:rsidRPr="00A9618B" w:rsidRDefault="00A9618B" w:rsidP="00A9618B">
      <w:pPr>
        <w:rPr>
          <w:rFonts w:asciiTheme="minorEastAsia" w:hAnsiTheme="minorEastAsia"/>
        </w:rPr>
      </w:pPr>
      <w:r w:rsidRPr="00A9618B">
        <w:rPr>
          <w:rFonts w:asciiTheme="minorEastAsia" w:hAnsiTheme="minorEastAsia" w:hint="eastAsia"/>
        </w:rPr>
        <w:t>指標ギャンブル等依存症関する</w:t>
      </w:r>
      <w:r w:rsidRPr="00A9618B">
        <w:rPr>
          <w:rFonts w:asciiTheme="minorEastAsia" w:hAnsiTheme="minorEastAsia"/>
        </w:rPr>
        <w:t>実態調査の実施回数</w:t>
      </w:r>
    </w:p>
    <w:p w14:paraId="7F996B9F"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1回（R3年度）目標毎年度1回（R５-７年度末）</w:t>
      </w:r>
    </w:p>
    <w:p w14:paraId="3BC2B058" w14:textId="77777777" w:rsidR="00A9618B" w:rsidRPr="00A9618B" w:rsidRDefault="00A9618B" w:rsidP="00A9618B">
      <w:pPr>
        <w:rPr>
          <w:rFonts w:asciiTheme="minorEastAsia" w:hAnsiTheme="minorEastAsia"/>
        </w:rPr>
      </w:pPr>
      <w:r w:rsidRPr="00A9618B">
        <w:rPr>
          <w:rFonts w:asciiTheme="minorEastAsia" w:hAnsiTheme="minorEastAsia" w:hint="eastAsia"/>
        </w:rPr>
        <w:t>重点施策⑨相談支援等を担う人材の養成</w:t>
      </w:r>
    </w:p>
    <w:p w14:paraId="36F3E3EE" w14:textId="6C14E22D" w:rsidR="00A9618B" w:rsidRPr="00A9618B" w:rsidRDefault="006C2A53" w:rsidP="00A9618B">
      <w:pPr>
        <w:rPr>
          <w:rFonts w:asciiTheme="minorEastAsia" w:hAnsiTheme="minorEastAsia"/>
        </w:rPr>
      </w:pPr>
      <w:r>
        <w:rPr>
          <w:rFonts w:asciiTheme="minorEastAsia" w:hAnsiTheme="minorEastAsia" w:hint="eastAsia"/>
        </w:rPr>
        <w:t>指標関係機関職員専門研修により養成した相談</w:t>
      </w:r>
      <w:r w:rsidR="00A9618B" w:rsidRPr="00A9618B">
        <w:rPr>
          <w:rFonts w:asciiTheme="minorEastAsia" w:hAnsiTheme="minorEastAsia" w:hint="eastAsia"/>
        </w:rPr>
        <w:t>員数</w:t>
      </w:r>
    </w:p>
    <w:p w14:paraId="457BF1A2" w14:textId="77777777" w:rsidR="00A9618B" w:rsidRPr="00A9618B" w:rsidRDefault="00A9618B" w:rsidP="00A9618B">
      <w:pPr>
        <w:rPr>
          <w:rFonts w:asciiTheme="minorEastAsia" w:hAnsiTheme="minorEastAsia"/>
        </w:rPr>
      </w:pPr>
      <w:r w:rsidRPr="00A9618B">
        <w:rPr>
          <w:rFonts w:asciiTheme="minorEastAsia" w:hAnsiTheme="minorEastAsia" w:hint="eastAsia"/>
        </w:rPr>
        <w:t>現状</w:t>
      </w:r>
      <w:r w:rsidRPr="00A9618B">
        <w:rPr>
          <w:rFonts w:asciiTheme="minorEastAsia" w:hAnsiTheme="minorEastAsia"/>
        </w:rPr>
        <w:t>461名目標毎年度500人以上（R5-７年度末）</w:t>
      </w:r>
    </w:p>
    <w:p w14:paraId="0BB1ACBC" w14:textId="77777777" w:rsidR="00A9618B" w:rsidRPr="00A9618B" w:rsidRDefault="00A9618B" w:rsidP="00EC4E09">
      <w:pPr>
        <w:ind w:left="2884" w:hangingChars="1400" w:hanging="2884"/>
        <w:rPr>
          <w:rFonts w:asciiTheme="minorEastAsia" w:hAnsiTheme="minorEastAsia" w:cs="Segoe UI Symbol"/>
          <w:b/>
        </w:rPr>
      </w:pPr>
    </w:p>
    <w:p w14:paraId="4455E66E" w14:textId="757D4991" w:rsidR="00EC4E09" w:rsidRPr="00A9618B" w:rsidRDefault="00EC4E09" w:rsidP="00EC4E09">
      <w:pPr>
        <w:ind w:left="2940" w:hangingChars="1400" w:hanging="2940"/>
        <w:rPr>
          <w:rFonts w:asciiTheme="minorEastAsia" w:hAnsiTheme="minorEastAsia" w:cs="Segoe UI Symbol"/>
        </w:rPr>
      </w:pPr>
    </w:p>
    <w:p w14:paraId="627C4340" w14:textId="5E1B9944" w:rsidR="00EC4E09" w:rsidRPr="00C63DC9" w:rsidRDefault="00EC4E09" w:rsidP="00EC4E09">
      <w:pPr>
        <w:ind w:left="2884" w:hangingChars="1400" w:hanging="2884"/>
        <w:rPr>
          <w:rFonts w:asciiTheme="minorEastAsia" w:hAnsiTheme="minorEastAsia" w:cs="Segoe UI Symbol"/>
          <w:b/>
        </w:rPr>
      </w:pPr>
      <w:r w:rsidRPr="00C63DC9">
        <w:rPr>
          <w:rFonts w:asciiTheme="minorEastAsia" w:hAnsiTheme="minorEastAsia" w:cs="Segoe UI Symbol" w:hint="eastAsia"/>
          <w:b/>
        </w:rPr>
        <w:t>●推進会議等</w:t>
      </w:r>
    </w:p>
    <w:p w14:paraId="63D3B412" w14:textId="5E0D5B66" w:rsidR="00EC4E09" w:rsidRDefault="00EC4E09" w:rsidP="00EC4E09">
      <w:pPr>
        <w:ind w:left="2940" w:hangingChars="1400" w:hanging="2940"/>
        <w:rPr>
          <w:rFonts w:asciiTheme="minorEastAsia" w:hAnsiTheme="minorEastAsia" w:cs="Segoe UI Symbol"/>
        </w:rPr>
      </w:pPr>
      <w:r w:rsidRPr="00A9618B">
        <w:rPr>
          <w:rFonts w:asciiTheme="minorEastAsia" w:hAnsiTheme="minorEastAsia" w:cs="Segoe UI Symbol" w:hint="eastAsia"/>
        </w:rPr>
        <w:t xml:space="preserve">　・大阪府</w:t>
      </w:r>
      <w:r w:rsidR="00A9618B">
        <w:rPr>
          <w:rFonts w:asciiTheme="minorEastAsia" w:hAnsiTheme="minorEastAsia" w:cs="Segoe UI Symbol" w:hint="eastAsia"/>
        </w:rPr>
        <w:t>ギャンブル等依存症対策推進本部・推進会議</w:t>
      </w:r>
    </w:p>
    <w:p w14:paraId="41784214" w14:textId="005B56E0" w:rsidR="00A9618B" w:rsidRDefault="00A9618B" w:rsidP="00EC4E09">
      <w:pPr>
        <w:ind w:left="2940" w:hangingChars="1400" w:hanging="2940"/>
        <w:rPr>
          <w:rFonts w:asciiTheme="minorEastAsia" w:hAnsiTheme="minorEastAsia" w:cs="Segoe UI Symbol"/>
        </w:rPr>
      </w:pPr>
      <w:r>
        <w:rPr>
          <w:rFonts w:asciiTheme="minorEastAsia" w:hAnsiTheme="minorEastAsia" w:cs="Segoe UI Symbol" w:hint="eastAsia"/>
        </w:rPr>
        <w:t xml:space="preserve">　・大阪府依存症関連機関連携会議・専門部会</w:t>
      </w:r>
    </w:p>
    <w:p w14:paraId="4B207942" w14:textId="53ABF243" w:rsidR="00A9618B" w:rsidRDefault="00A9618B" w:rsidP="00EC4E09">
      <w:pPr>
        <w:ind w:left="2940" w:hangingChars="1400" w:hanging="2940"/>
        <w:rPr>
          <w:rFonts w:asciiTheme="minorEastAsia" w:hAnsiTheme="minorEastAsia" w:cs="Segoe UI Symbol"/>
        </w:rPr>
      </w:pPr>
      <w:r>
        <w:rPr>
          <w:rFonts w:asciiTheme="minorEastAsia" w:hAnsiTheme="minorEastAsia" w:cs="Segoe UI Symbol" w:hint="eastAsia"/>
        </w:rPr>
        <w:t xml:space="preserve">　・大阪府依存症対策庁内連携会議</w:t>
      </w:r>
    </w:p>
    <w:p w14:paraId="0679DEF7" w14:textId="033605E9" w:rsidR="00A9618B" w:rsidRPr="00C63DC9" w:rsidRDefault="00A9618B" w:rsidP="00EC4E09">
      <w:pPr>
        <w:ind w:left="2884" w:hangingChars="1400" w:hanging="2884"/>
        <w:rPr>
          <w:rFonts w:asciiTheme="minorEastAsia" w:hAnsiTheme="minorEastAsia" w:cs="Segoe UI Symbol"/>
          <w:b/>
        </w:rPr>
      </w:pPr>
      <w:r w:rsidRPr="00C63DC9">
        <w:rPr>
          <w:rFonts w:asciiTheme="minorEastAsia" w:hAnsiTheme="minorEastAsia" w:cs="Segoe UI Symbol" w:hint="eastAsia"/>
          <w:b/>
        </w:rPr>
        <w:t>●進捗管理等</w:t>
      </w:r>
    </w:p>
    <w:p w14:paraId="4A8D73EA" w14:textId="0C2C9108" w:rsidR="00A9618B" w:rsidRDefault="00A9618B" w:rsidP="00D57CBD">
      <w:pPr>
        <w:ind w:firstLineChars="100" w:firstLine="210"/>
        <w:rPr>
          <w:rFonts w:asciiTheme="minorEastAsia" w:hAnsiTheme="minorEastAsia" w:cs="Segoe UI Symbol"/>
        </w:rPr>
      </w:pPr>
      <w:r>
        <w:rPr>
          <w:rFonts w:asciiTheme="minorEastAsia" w:hAnsiTheme="minorEastAsia" w:cs="Segoe UI Symbol" w:hint="eastAsia"/>
        </w:rPr>
        <w:t>・本計画については、推進本部において、計画に基づき実施する施策の実施状況の評価を行うとともに</w:t>
      </w:r>
      <w:r w:rsidR="00D57CBD">
        <w:rPr>
          <w:rFonts w:asciiTheme="minorEastAsia" w:hAnsiTheme="minorEastAsia" w:cs="Segoe UI Symbol" w:hint="eastAsia"/>
        </w:rPr>
        <w:t>、その結果の取りまとめを行う際には、推進会議の意見を聴取する。</w:t>
      </w:r>
    </w:p>
    <w:p w14:paraId="24C49269" w14:textId="39050B88" w:rsidR="00D57CBD" w:rsidRDefault="00D57CBD" w:rsidP="00D57CBD">
      <w:pPr>
        <w:ind w:firstLineChars="100" w:firstLine="210"/>
        <w:rPr>
          <w:rFonts w:asciiTheme="minorEastAsia" w:hAnsiTheme="minorEastAsia" w:cs="Segoe UI Symbol"/>
        </w:rPr>
      </w:pPr>
      <w:r>
        <w:rPr>
          <w:rFonts w:asciiTheme="minorEastAsia" w:hAnsiTheme="minorEastAsia" w:cs="Segoe UI Symbol" w:hint="eastAsia"/>
        </w:rPr>
        <w:t>・本計画の進捗等の状況変化により、必要が生じた場合は、計画の見直しを行う。</w:t>
      </w:r>
    </w:p>
    <w:p w14:paraId="64A8C206" w14:textId="4FDE706E" w:rsidR="00D57CBD" w:rsidRPr="00C63DC9" w:rsidRDefault="00D57CBD" w:rsidP="00D57CBD">
      <w:pPr>
        <w:rPr>
          <w:rFonts w:asciiTheme="minorEastAsia" w:hAnsiTheme="minorEastAsia" w:cs="Segoe UI Symbol"/>
          <w:b/>
        </w:rPr>
      </w:pPr>
      <w:r w:rsidRPr="00C63DC9">
        <w:rPr>
          <w:rFonts w:asciiTheme="minorEastAsia" w:hAnsiTheme="minorEastAsia" w:cs="Segoe UI Symbol" w:hint="eastAsia"/>
          <w:b/>
        </w:rPr>
        <w:t>●ギャンブル等依存症対策基金</w:t>
      </w:r>
    </w:p>
    <w:p w14:paraId="238C117E" w14:textId="5E123605" w:rsidR="00D57CBD" w:rsidRDefault="00D57CBD" w:rsidP="00D57CBD">
      <w:pPr>
        <w:rPr>
          <w:rFonts w:asciiTheme="minorEastAsia" w:hAnsiTheme="minorEastAsia" w:cs="Segoe UI Symbol"/>
        </w:rPr>
      </w:pPr>
      <w:r>
        <w:rPr>
          <w:rFonts w:asciiTheme="minorEastAsia" w:hAnsiTheme="minorEastAsia" w:cs="Segoe UI Symbol" w:hint="eastAsia"/>
        </w:rPr>
        <w:t xml:space="preserve">　・ギャンブル等依存症対策の推進に資するための資金を積み立てるため設置。</w:t>
      </w:r>
    </w:p>
    <w:p w14:paraId="35AA7E08" w14:textId="0F714405" w:rsidR="00D57CBD" w:rsidRPr="00D57CBD" w:rsidRDefault="00D57CBD" w:rsidP="00D57CBD">
      <w:pPr>
        <w:rPr>
          <w:rFonts w:asciiTheme="minorEastAsia" w:hAnsiTheme="minorEastAsia" w:cs="Segoe UI Symbol"/>
        </w:rPr>
      </w:pPr>
      <w:r>
        <w:rPr>
          <w:rFonts w:asciiTheme="minorEastAsia" w:hAnsiTheme="minorEastAsia" w:cs="Segoe UI Symbol" w:hint="eastAsia"/>
        </w:rPr>
        <w:t xml:space="preserve">　・本基金を活用し、府民と協働し、府民が安心して健康的に暮らせる社会の実現を目的とするギャンブル等依存症対策の取組みを推進。</w:t>
      </w:r>
    </w:p>
    <w:sectPr w:rsidR="00D57CBD" w:rsidRPr="00D57CBD" w:rsidSect="001106CE">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36538" w14:textId="77777777" w:rsidR="00A9618B" w:rsidRDefault="00A9618B" w:rsidP="00D00201">
      <w:r>
        <w:separator/>
      </w:r>
    </w:p>
  </w:endnote>
  <w:endnote w:type="continuationSeparator" w:id="0">
    <w:p w14:paraId="052B6E1A" w14:textId="77777777" w:rsidR="00A9618B" w:rsidRDefault="00A9618B" w:rsidP="00D0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30425" w14:textId="77777777" w:rsidR="00A9618B" w:rsidRDefault="00A9618B" w:rsidP="00D00201">
      <w:r>
        <w:separator/>
      </w:r>
    </w:p>
  </w:footnote>
  <w:footnote w:type="continuationSeparator" w:id="0">
    <w:p w14:paraId="4B7C8BAF" w14:textId="77777777" w:rsidR="00A9618B" w:rsidRDefault="00A9618B" w:rsidP="00D0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57B"/>
    <w:multiLevelType w:val="hybridMultilevel"/>
    <w:tmpl w:val="81C28868"/>
    <w:lvl w:ilvl="0" w:tplc="A0D8F38A">
      <w:start w:val="1"/>
      <w:numFmt w:val="bullet"/>
      <w:lvlText w:val="♦"/>
      <w:lvlJc w:val="left"/>
      <w:pPr>
        <w:tabs>
          <w:tab w:val="num" w:pos="720"/>
        </w:tabs>
        <w:ind w:left="720" w:hanging="360"/>
      </w:pPr>
      <w:rPr>
        <w:rFonts w:ascii="Arial" w:hAnsi="Arial" w:hint="default"/>
      </w:rPr>
    </w:lvl>
    <w:lvl w:ilvl="1" w:tplc="BA469BAA" w:tentative="1">
      <w:start w:val="1"/>
      <w:numFmt w:val="bullet"/>
      <w:lvlText w:val="♦"/>
      <w:lvlJc w:val="left"/>
      <w:pPr>
        <w:tabs>
          <w:tab w:val="num" w:pos="1440"/>
        </w:tabs>
        <w:ind w:left="1440" w:hanging="360"/>
      </w:pPr>
      <w:rPr>
        <w:rFonts w:ascii="Arial" w:hAnsi="Arial" w:hint="default"/>
      </w:rPr>
    </w:lvl>
    <w:lvl w:ilvl="2" w:tplc="62BC5DA6" w:tentative="1">
      <w:start w:val="1"/>
      <w:numFmt w:val="bullet"/>
      <w:lvlText w:val="♦"/>
      <w:lvlJc w:val="left"/>
      <w:pPr>
        <w:tabs>
          <w:tab w:val="num" w:pos="2160"/>
        </w:tabs>
        <w:ind w:left="2160" w:hanging="360"/>
      </w:pPr>
      <w:rPr>
        <w:rFonts w:ascii="Arial" w:hAnsi="Arial" w:hint="default"/>
      </w:rPr>
    </w:lvl>
    <w:lvl w:ilvl="3" w:tplc="267245A2" w:tentative="1">
      <w:start w:val="1"/>
      <w:numFmt w:val="bullet"/>
      <w:lvlText w:val="♦"/>
      <w:lvlJc w:val="left"/>
      <w:pPr>
        <w:tabs>
          <w:tab w:val="num" w:pos="2880"/>
        </w:tabs>
        <w:ind w:left="2880" w:hanging="360"/>
      </w:pPr>
      <w:rPr>
        <w:rFonts w:ascii="Arial" w:hAnsi="Arial" w:hint="default"/>
      </w:rPr>
    </w:lvl>
    <w:lvl w:ilvl="4" w:tplc="B5D67D74" w:tentative="1">
      <w:start w:val="1"/>
      <w:numFmt w:val="bullet"/>
      <w:lvlText w:val="♦"/>
      <w:lvlJc w:val="left"/>
      <w:pPr>
        <w:tabs>
          <w:tab w:val="num" w:pos="3600"/>
        </w:tabs>
        <w:ind w:left="3600" w:hanging="360"/>
      </w:pPr>
      <w:rPr>
        <w:rFonts w:ascii="Arial" w:hAnsi="Arial" w:hint="default"/>
      </w:rPr>
    </w:lvl>
    <w:lvl w:ilvl="5" w:tplc="46F0EED2" w:tentative="1">
      <w:start w:val="1"/>
      <w:numFmt w:val="bullet"/>
      <w:lvlText w:val="♦"/>
      <w:lvlJc w:val="left"/>
      <w:pPr>
        <w:tabs>
          <w:tab w:val="num" w:pos="4320"/>
        </w:tabs>
        <w:ind w:left="4320" w:hanging="360"/>
      </w:pPr>
      <w:rPr>
        <w:rFonts w:ascii="Arial" w:hAnsi="Arial" w:hint="default"/>
      </w:rPr>
    </w:lvl>
    <w:lvl w:ilvl="6" w:tplc="7174CE76" w:tentative="1">
      <w:start w:val="1"/>
      <w:numFmt w:val="bullet"/>
      <w:lvlText w:val="♦"/>
      <w:lvlJc w:val="left"/>
      <w:pPr>
        <w:tabs>
          <w:tab w:val="num" w:pos="5040"/>
        </w:tabs>
        <w:ind w:left="5040" w:hanging="360"/>
      </w:pPr>
      <w:rPr>
        <w:rFonts w:ascii="Arial" w:hAnsi="Arial" w:hint="default"/>
      </w:rPr>
    </w:lvl>
    <w:lvl w:ilvl="7" w:tplc="0ED8EDAC" w:tentative="1">
      <w:start w:val="1"/>
      <w:numFmt w:val="bullet"/>
      <w:lvlText w:val="♦"/>
      <w:lvlJc w:val="left"/>
      <w:pPr>
        <w:tabs>
          <w:tab w:val="num" w:pos="5760"/>
        </w:tabs>
        <w:ind w:left="5760" w:hanging="360"/>
      </w:pPr>
      <w:rPr>
        <w:rFonts w:ascii="Arial" w:hAnsi="Arial" w:hint="default"/>
      </w:rPr>
    </w:lvl>
    <w:lvl w:ilvl="8" w:tplc="5DE6A9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25"/>
    <w:rsid w:val="00081D87"/>
    <w:rsid w:val="001106CE"/>
    <w:rsid w:val="00122E09"/>
    <w:rsid w:val="001B7C33"/>
    <w:rsid w:val="00421229"/>
    <w:rsid w:val="004F0725"/>
    <w:rsid w:val="00656F03"/>
    <w:rsid w:val="006C2A53"/>
    <w:rsid w:val="007209EB"/>
    <w:rsid w:val="007E48B7"/>
    <w:rsid w:val="008960BF"/>
    <w:rsid w:val="009E199A"/>
    <w:rsid w:val="00A44526"/>
    <w:rsid w:val="00A9618B"/>
    <w:rsid w:val="00AA2BF8"/>
    <w:rsid w:val="00B31879"/>
    <w:rsid w:val="00BE0585"/>
    <w:rsid w:val="00C240A9"/>
    <w:rsid w:val="00C61EFD"/>
    <w:rsid w:val="00C63DC9"/>
    <w:rsid w:val="00C82D6D"/>
    <w:rsid w:val="00D00201"/>
    <w:rsid w:val="00D57CBD"/>
    <w:rsid w:val="00DD753F"/>
    <w:rsid w:val="00EB6F2D"/>
    <w:rsid w:val="00EC4E09"/>
    <w:rsid w:val="00ED0830"/>
    <w:rsid w:val="00EF4A64"/>
    <w:rsid w:val="00FE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79CF7E"/>
  <w15:chartTrackingRefBased/>
  <w15:docId w15:val="{74AD2042-A480-4905-9A60-B86FF3A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201"/>
    <w:pPr>
      <w:tabs>
        <w:tab w:val="center" w:pos="4252"/>
        <w:tab w:val="right" w:pos="8504"/>
      </w:tabs>
      <w:snapToGrid w:val="0"/>
    </w:pPr>
  </w:style>
  <w:style w:type="character" w:customStyle="1" w:styleId="a4">
    <w:name w:val="ヘッダー (文字)"/>
    <w:basedOn w:val="a0"/>
    <w:link w:val="a3"/>
    <w:uiPriority w:val="99"/>
    <w:rsid w:val="00D00201"/>
  </w:style>
  <w:style w:type="paragraph" w:styleId="a5">
    <w:name w:val="footer"/>
    <w:basedOn w:val="a"/>
    <w:link w:val="a6"/>
    <w:uiPriority w:val="99"/>
    <w:unhideWhenUsed/>
    <w:rsid w:val="00D00201"/>
    <w:pPr>
      <w:tabs>
        <w:tab w:val="center" w:pos="4252"/>
        <w:tab w:val="right" w:pos="8504"/>
      </w:tabs>
      <w:snapToGrid w:val="0"/>
    </w:pPr>
  </w:style>
  <w:style w:type="character" w:customStyle="1" w:styleId="a6">
    <w:name w:val="フッター (文字)"/>
    <w:basedOn w:val="a0"/>
    <w:link w:val="a5"/>
    <w:uiPriority w:val="99"/>
    <w:rsid w:val="00D0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1038">
      <w:bodyDiv w:val="1"/>
      <w:marLeft w:val="0"/>
      <w:marRight w:val="0"/>
      <w:marTop w:val="0"/>
      <w:marBottom w:val="0"/>
      <w:divBdr>
        <w:top w:val="none" w:sz="0" w:space="0" w:color="auto"/>
        <w:left w:val="none" w:sz="0" w:space="0" w:color="auto"/>
        <w:bottom w:val="none" w:sz="0" w:space="0" w:color="auto"/>
        <w:right w:val="none" w:sz="0" w:space="0" w:color="auto"/>
      </w:divBdr>
    </w:div>
    <w:div w:id="260185592">
      <w:bodyDiv w:val="1"/>
      <w:marLeft w:val="0"/>
      <w:marRight w:val="0"/>
      <w:marTop w:val="0"/>
      <w:marBottom w:val="0"/>
      <w:divBdr>
        <w:top w:val="none" w:sz="0" w:space="0" w:color="auto"/>
        <w:left w:val="none" w:sz="0" w:space="0" w:color="auto"/>
        <w:bottom w:val="none" w:sz="0" w:space="0" w:color="auto"/>
        <w:right w:val="none" w:sz="0" w:space="0" w:color="auto"/>
      </w:divBdr>
      <w:divsChild>
        <w:div w:id="59250505">
          <w:marLeft w:val="274"/>
          <w:marRight w:val="0"/>
          <w:marTop w:val="0"/>
          <w:marBottom w:val="0"/>
          <w:divBdr>
            <w:top w:val="none" w:sz="0" w:space="0" w:color="auto"/>
            <w:left w:val="none" w:sz="0" w:space="0" w:color="auto"/>
            <w:bottom w:val="none" w:sz="0" w:space="0" w:color="auto"/>
            <w:right w:val="none" w:sz="0" w:space="0" w:color="auto"/>
          </w:divBdr>
        </w:div>
        <w:div w:id="1051148926">
          <w:marLeft w:val="274"/>
          <w:marRight w:val="0"/>
          <w:marTop w:val="0"/>
          <w:marBottom w:val="0"/>
          <w:divBdr>
            <w:top w:val="none" w:sz="0" w:space="0" w:color="auto"/>
            <w:left w:val="none" w:sz="0" w:space="0" w:color="auto"/>
            <w:bottom w:val="none" w:sz="0" w:space="0" w:color="auto"/>
            <w:right w:val="none" w:sz="0" w:space="0" w:color="auto"/>
          </w:divBdr>
        </w:div>
        <w:div w:id="1575704137">
          <w:marLeft w:val="274"/>
          <w:marRight w:val="0"/>
          <w:marTop w:val="0"/>
          <w:marBottom w:val="0"/>
          <w:divBdr>
            <w:top w:val="none" w:sz="0" w:space="0" w:color="auto"/>
            <w:left w:val="none" w:sz="0" w:space="0" w:color="auto"/>
            <w:bottom w:val="none" w:sz="0" w:space="0" w:color="auto"/>
            <w:right w:val="none" w:sz="0" w:space="0" w:color="auto"/>
          </w:divBdr>
        </w:div>
        <w:div w:id="607082721">
          <w:marLeft w:val="274"/>
          <w:marRight w:val="0"/>
          <w:marTop w:val="0"/>
          <w:marBottom w:val="0"/>
          <w:divBdr>
            <w:top w:val="none" w:sz="0" w:space="0" w:color="auto"/>
            <w:left w:val="none" w:sz="0" w:space="0" w:color="auto"/>
            <w:bottom w:val="none" w:sz="0" w:space="0" w:color="auto"/>
            <w:right w:val="none" w:sz="0" w:space="0" w:color="auto"/>
          </w:divBdr>
        </w:div>
      </w:divsChild>
    </w:div>
    <w:div w:id="290286877">
      <w:bodyDiv w:val="1"/>
      <w:marLeft w:val="0"/>
      <w:marRight w:val="0"/>
      <w:marTop w:val="0"/>
      <w:marBottom w:val="0"/>
      <w:divBdr>
        <w:top w:val="none" w:sz="0" w:space="0" w:color="auto"/>
        <w:left w:val="none" w:sz="0" w:space="0" w:color="auto"/>
        <w:bottom w:val="none" w:sz="0" w:space="0" w:color="auto"/>
        <w:right w:val="none" w:sz="0" w:space="0" w:color="auto"/>
      </w:divBdr>
    </w:div>
    <w:div w:id="363411108">
      <w:bodyDiv w:val="1"/>
      <w:marLeft w:val="0"/>
      <w:marRight w:val="0"/>
      <w:marTop w:val="0"/>
      <w:marBottom w:val="0"/>
      <w:divBdr>
        <w:top w:val="none" w:sz="0" w:space="0" w:color="auto"/>
        <w:left w:val="none" w:sz="0" w:space="0" w:color="auto"/>
        <w:bottom w:val="none" w:sz="0" w:space="0" w:color="auto"/>
        <w:right w:val="none" w:sz="0" w:space="0" w:color="auto"/>
      </w:divBdr>
    </w:div>
    <w:div w:id="495652480">
      <w:bodyDiv w:val="1"/>
      <w:marLeft w:val="0"/>
      <w:marRight w:val="0"/>
      <w:marTop w:val="0"/>
      <w:marBottom w:val="0"/>
      <w:divBdr>
        <w:top w:val="none" w:sz="0" w:space="0" w:color="auto"/>
        <w:left w:val="none" w:sz="0" w:space="0" w:color="auto"/>
        <w:bottom w:val="none" w:sz="0" w:space="0" w:color="auto"/>
        <w:right w:val="none" w:sz="0" w:space="0" w:color="auto"/>
      </w:divBdr>
    </w:div>
    <w:div w:id="638412983">
      <w:bodyDiv w:val="1"/>
      <w:marLeft w:val="0"/>
      <w:marRight w:val="0"/>
      <w:marTop w:val="0"/>
      <w:marBottom w:val="0"/>
      <w:divBdr>
        <w:top w:val="none" w:sz="0" w:space="0" w:color="auto"/>
        <w:left w:val="none" w:sz="0" w:space="0" w:color="auto"/>
        <w:bottom w:val="none" w:sz="0" w:space="0" w:color="auto"/>
        <w:right w:val="none" w:sz="0" w:space="0" w:color="auto"/>
      </w:divBdr>
    </w:div>
    <w:div w:id="801657950">
      <w:bodyDiv w:val="1"/>
      <w:marLeft w:val="0"/>
      <w:marRight w:val="0"/>
      <w:marTop w:val="0"/>
      <w:marBottom w:val="0"/>
      <w:divBdr>
        <w:top w:val="none" w:sz="0" w:space="0" w:color="auto"/>
        <w:left w:val="none" w:sz="0" w:space="0" w:color="auto"/>
        <w:bottom w:val="none" w:sz="0" w:space="0" w:color="auto"/>
        <w:right w:val="none" w:sz="0" w:space="0" w:color="auto"/>
      </w:divBdr>
    </w:div>
    <w:div w:id="846402473">
      <w:bodyDiv w:val="1"/>
      <w:marLeft w:val="0"/>
      <w:marRight w:val="0"/>
      <w:marTop w:val="0"/>
      <w:marBottom w:val="0"/>
      <w:divBdr>
        <w:top w:val="none" w:sz="0" w:space="0" w:color="auto"/>
        <w:left w:val="none" w:sz="0" w:space="0" w:color="auto"/>
        <w:bottom w:val="none" w:sz="0" w:space="0" w:color="auto"/>
        <w:right w:val="none" w:sz="0" w:space="0" w:color="auto"/>
      </w:divBdr>
    </w:div>
    <w:div w:id="993216739">
      <w:bodyDiv w:val="1"/>
      <w:marLeft w:val="0"/>
      <w:marRight w:val="0"/>
      <w:marTop w:val="0"/>
      <w:marBottom w:val="0"/>
      <w:divBdr>
        <w:top w:val="none" w:sz="0" w:space="0" w:color="auto"/>
        <w:left w:val="none" w:sz="0" w:space="0" w:color="auto"/>
        <w:bottom w:val="none" w:sz="0" w:space="0" w:color="auto"/>
        <w:right w:val="none" w:sz="0" w:space="0" w:color="auto"/>
      </w:divBdr>
    </w:div>
    <w:div w:id="1044057060">
      <w:bodyDiv w:val="1"/>
      <w:marLeft w:val="0"/>
      <w:marRight w:val="0"/>
      <w:marTop w:val="0"/>
      <w:marBottom w:val="0"/>
      <w:divBdr>
        <w:top w:val="none" w:sz="0" w:space="0" w:color="auto"/>
        <w:left w:val="none" w:sz="0" w:space="0" w:color="auto"/>
        <w:bottom w:val="none" w:sz="0" w:space="0" w:color="auto"/>
        <w:right w:val="none" w:sz="0" w:space="0" w:color="auto"/>
      </w:divBdr>
    </w:div>
    <w:div w:id="1123770421">
      <w:bodyDiv w:val="1"/>
      <w:marLeft w:val="0"/>
      <w:marRight w:val="0"/>
      <w:marTop w:val="0"/>
      <w:marBottom w:val="0"/>
      <w:divBdr>
        <w:top w:val="none" w:sz="0" w:space="0" w:color="auto"/>
        <w:left w:val="none" w:sz="0" w:space="0" w:color="auto"/>
        <w:bottom w:val="none" w:sz="0" w:space="0" w:color="auto"/>
        <w:right w:val="none" w:sz="0" w:space="0" w:color="auto"/>
      </w:divBdr>
    </w:div>
    <w:div w:id="1162307701">
      <w:bodyDiv w:val="1"/>
      <w:marLeft w:val="0"/>
      <w:marRight w:val="0"/>
      <w:marTop w:val="0"/>
      <w:marBottom w:val="0"/>
      <w:divBdr>
        <w:top w:val="none" w:sz="0" w:space="0" w:color="auto"/>
        <w:left w:val="none" w:sz="0" w:space="0" w:color="auto"/>
        <w:bottom w:val="none" w:sz="0" w:space="0" w:color="auto"/>
        <w:right w:val="none" w:sz="0" w:space="0" w:color="auto"/>
      </w:divBdr>
    </w:div>
    <w:div w:id="1311979863">
      <w:bodyDiv w:val="1"/>
      <w:marLeft w:val="0"/>
      <w:marRight w:val="0"/>
      <w:marTop w:val="0"/>
      <w:marBottom w:val="0"/>
      <w:divBdr>
        <w:top w:val="none" w:sz="0" w:space="0" w:color="auto"/>
        <w:left w:val="none" w:sz="0" w:space="0" w:color="auto"/>
        <w:bottom w:val="none" w:sz="0" w:space="0" w:color="auto"/>
        <w:right w:val="none" w:sz="0" w:space="0" w:color="auto"/>
      </w:divBdr>
    </w:div>
    <w:div w:id="1366784947">
      <w:bodyDiv w:val="1"/>
      <w:marLeft w:val="0"/>
      <w:marRight w:val="0"/>
      <w:marTop w:val="0"/>
      <w:marBottom w:val="0"/>
      <w:divBdr>
        <w:top w:val="none" w:sz="0" w:space="0" w:color="auto"/>
        <w:left w:val="none" w:sz="0" w:space="0" w:color="auto"/>
        <w:bottom w:val="none" w:sz="0" w:space="0" w:color="auto"/>
        <w:right w:val="none" w:sz="0" w:space="0" w:color="auto"/>
      </w:divBdr>
    </w:div>
    <w:div w:id="1415474009">
      <w:bodyDiv w:val="1"/>
      <w:marLeft w:val="0"/>
      <w:marRight w:val="0"/>
      <w:marTop w:val="0"/>
      <w:marBottom w:val="0"/>
      <w:divBdr>
        <w:top w:val="none" w:sz="0" w:space="0" w:color="auto"/>
        <w:left w:val="none" w:sz="0" w:space="0" w:color="auto"/>
        <w:bottom w:val="none" w:sz="0" w:space="0" w:color="auto"/>
        <w:right w:val="none" w:sz="0" w:space="0" w:color="auto"/>
      </w:divBdr>
    </w:div>
    <w:div w:id="1465852363">
      <w:bodyDiv w:val="1"/>
      <w:marLeft w:val="0"/>
      <w:marRight w:val="0"/>
      <w:marTop w:val="0"/>
      <w:marBottom w:val="0"/>
      <w:divBdr>
        <w:top w:val="none" w:sz="0" w:space="0" w:color="auto"/>
        <w:left w:val="none" w:sz="0" w:space="0" w:color="auto"/>
        <w:bottom w:val="none" w:sz="0" w:space="0" w:color="auto"/>
        <w:right w:val="none" w:sz="0" w:space="0" w:color="auto"/>
      </w:divBdr>
    </w:div>
    <w:div w:id="1697001901">
      <w:bodyDiv w:val="1"/>
      <w:marLeft w:val="0"/>
      <w:marRight w:val="0"/>
      <w:marTop w:val="0"/>
      <w:marBottom w:val="0"/>
      <w:divBdr>
        <w:top w:val="none" w:sz="0" w:space="0" w:color="auto"/>
        <w:left w:val="none" w:sz="0" w:space="0" w:color="auto"/>
        <w:bottom w:val="none" w:sz="0" w:space="0" w:color="auto"/>
        <w:right w:val="none" w:sz="0" w:space="0" w:color="auto"/>
      </w:divBdr>
    </w:div>
    <w:div w:id="1708143860">
      <w:bodyDiv w:val="1"/>
      <w:marLeft w:val="0"/>
      <w:marRight w:val="0"/>
      <w:marTop w:val="0"/>
      <w:marBottom w:val="0"/>
      <w:divBdr>
        <w:top w:val="none" w:sz="0" w:space="0" w:color="auto"/>
        <w:left w:val="none" w:sz="0" w:space="0" w:color="auto"/>
        <w:bottom w:val="none" w:sz="0" w:space="0" w:color="auto"/>
        <w:right w:val="none" w:sz="0" w:space="0" w:color="auto"/>
      </w:divBdr>
    </w:div>
    <w:div w:id="1725370882">
      <w:bodyDiv w:val="1"/>
      <w:marLeft w:val="0"/>
      <w:marRight w:val="0"/>
      <w:marTop w:val="0"/>
      <w:marBottom w:val="0"/>
      <w:divBdr>
        <w:top w:val="none" w:sz="0" w:space="0" w:color="auto"/>
        <w:left w:val="none" w:sz="0" w:space="0" w:color="auto"/>
        <w:bottom w:val="none" w:sz="0" w:space="0" w:color="auto"/>
        <w:right w:val="none" w:sz="0" w:space="0" w:color="auto"/>
      </w:divBdr>
    </w:div>
    <w:div w:id="1736472440">
      <w:bodyDiv w:val="1"/>
      <w:marLeft w:val="0"/>
      <w:marRight w:val="0"/>
      <w:marTop w:val="0"/>
      <w:marBottom w:val="0"/>
      <w:divBdr>
        <w:top w:val="none" w:sz="0" w:space="0" w:color="auto"/>
        <w:left w:val="none" w:sz="0" w:space="0" w:color="auto"/>
        <w:bottom w:val="none" w:sz="0" w:space="0" w:color="auto"/>
        <w:right w:val="none" w:sz="0" w:space="0" w:color="auto"/>
      </w:divBdr>
    </w:div>
    <w:div w:id="1771386869">
      <w:bodyDiv w:val="1"/>
      <w:marLeft w:val="0"/>
      <w:marRight w:val="0"/>
      <w:marTop w:val="0"/>
      <w:marBottom w:val="0"/>
      <w:divBdr>
        <w:top w:val="none" w:sz="0" w:space="0" w:color="auto"/>
        <w:left w:val="none" w:sz="0" w:space="0" w:color="auto"/>
        <w:bottom w:val="none" w:sz="0" w:space="0" w:color="auto"/>
        <w:right w:val="none" w:sz="0" w:space="0" w:color="auto"/>
      </w:divBdr>
    </w:div>
    <w:div w:id="1792506097">
      <w:bodyDiv w:val="1"/>
      <w:marLeft w:val="0"/>
      <w:marRight w:val="0"/>
      <w:marTop w:val="0"/>
      <w:marBottom w:val="0"/>
      <w:divBdr>
        <w:top w:val="none" w:sz="0" w:space="0" w:color="auto"/>
        <w:left w:val="none" w:sz="0" w:space="0" w:color="auto"/>
        <w:bottom w:val="none" w:sz="0" w:space="0" w:color="auto"/>
        <w:right w:val="none" w:sz="0" w:space="0" w:color="auto"/>
      </w:divBdr>
    </w:div>
    <w:div w:id="1921519780">
      <w:bodyDiv w:val="1"/>
      <w:marLeft w:val="0"/>
      <w:marRight w:val="0"/>
      <w:marTop w:val="0"/>
      <w:marBottom w:val="0"/>
      <w:divBdr>
        <w:top w:val="none" w:sz="0" w:space="0" w:color="auto"/>
        <w:left w:val="none" w:sz="0" w:space="0" w:color="auto"/>
        <w:bottom w:val="none" w:sz="0" w:space="0" w:color="auto"/>
        <w:right w:val="none" w:sz="0" w:space="0" w:color="auto"/>
      </w:divBdr>
    </w:div>
    <w:div w:id="2024897568">
      <w:bodyDiv w:val="1"/>
      <w:marLeft w:val="0"/>
      <w:marRight w:val="0"/>
      <w:marTop w:val="0"/>
      <w:marBottom w:val="0"/>
      <w:divBdr>
        <w:top w:val="none" w:sz="0" w:space="0" w:color="auto"/>
        <w:left w:val="none" w:sz="0" w:space="0" w:color="auto"/>
        <w:bottom w:val="none" w:sz="0" w:space="0" w:color="auto"/>
        <w:right w:val="none" w:sz="0" w:space="0" w:color="auto"/>
      </w:divBdr>
    </w:div>
    <w:div w:id="2039968597">
      <w:bodyDiv w:val="1"/>
      <w:marLeft w:val="0"/>
      <w:marRight w:val="0"/>
      <w:marTop w:val="0"/>
      <w:marBottom w:val="0"/>
      <w:divBdr>
        <w:top w:val="none" w:sz="0" w:space="0" w:color="auto"/>
        <w:left w:val="none" w:sz="0" w:space="0" w:color="auto"/>
        <w:bottom w:val="none" w:sz="0" w:space="0" w:color="auto"/>
        <w:right w:val="none" w:sz="0" w:space="0" w:color="auto"/>
      </w:divBdr>
    </w:div>
    <w:div w:id="2063018888">
      <w:bodyDiv w:val="1"/>
      <w:marLeft w:val="0"/>
      <w:marRight w:val="0"/>
      <w:marTop w:val="0"/>
      <w:marBottom w:val="0"/>
      <w:divBdr>
        <w:top w:val="none" w:sz="0" w:space="0" w:color="auto"/>
        <w:left w:val="none" w:sz="0" w:space="0" w:color="auto"/>
        <w:bottom w:val="none" w:sz="0" w:space="0" w:color="auto"/>
        <w:right w:val="none" w:sz="0" w:space="0" w:color="auto"/>
      </w:divBdr>
    </w:div>
    <w:div w:id="20876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5B87-5050-41EA-AD40-624F5C94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周藤　英</dc:creator>
  <cp:keywords/>
  <dc:description/>
  <cp:lastModifiedBy>安吉　裕紀</cp:lastModifiedBy>
  <cp:revision>10</cp:revision>
  <dcterms:created xsi:type="dcterms:W3CDTF">2023-01-24T03:26:00Z</dcterms:created>
  <dcterms:modified xsi:type="dcterms:W3CDTF">2023-01-31T06:08:00Z</dcterms:modified>
</cp:coreProperties>
</file>