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EE38" w14:textId="77777777" w:rsidR="00862E5E" w:rsidRPr="005C521E" w:rsidRDefault="00862E5E" w:rsidP="00862E5E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14:paraId="438ACF75" w14:textId="77777777" w:rsidR="00862E5E" w:rsidRPr="003853A8" w:rsidRDefault="00862E5E" w:rsidP="00862E5E">
      <w:pPr>
        <w:pStyle w:val="Default"/>
        <w:jc w:val="center"/>
        <w:rPr>
          <w:rFonts w:ascii="游ゴシック" w:eastAsia="游ゴシック" w:hAnsi="游ゴシック"/>
          <w:sz w:val="28"/>
          <w:szCs w:val="28"/>
        </w:rPr>
      </w:pPr>
      <w:r w:rsidRPr="003853A8">
        <w:rPr>
          <w:rFonts w:ascii="游ゴシック" w:eastAsia="游ゴシック" w:hAnsi="游ゴシック"/>
          <w:sz w:val="28"/>
          <w:szCs w:val="28"/>
        </w:rPr>
        <w:t>後援名義使用に関する承認基準</w:t>
      </w:r>
    </w:p>
    <w:p w14:paraId="3F4591AC" w14:textId="77777777" w:rsidR="00862E5E" w:rsidRPr="003853A8" w:rsidRDefault="00862E5E" w:rsidP="005C521E">
      <w:pPr>
        <w:pStyle w:val="Default"/>
        <w:rPr>
          <w:rFonts w:ascii="游ゴシック" w:eastAsia="游ゴシック" w:hAnsi="游ゴシック"/>
          <w:sz w:val="22"/>
          <w:szCs w:val="22"/>
        </w:rPr>
      </w:pPr>
    </w:p>
    <w:p w14:paraId="6AF248FA" w14:textId="77777777" w:rsidR="005C521E" w:rsidRPr="003853A8" w:rsidRDefault="005C521E" w:rsidP="005C521E">
      <w:pPr>
        <w:pStyle w:val="Default"/>
        <w:rPr>
          <w:rFonts w:ascii="游ゴシック" w:eastAsia="游ゴシック" w:hAnsi="游ゴシック"/>
          <w:sz w:val="22"/>
          <w:szCs w:val="22"/>
        </w:rPr>
      </w:pPr>
    </w:p>
    <w:p w14:paraId="6BE68253" w14:textId="77777777" w:rsidR="00862E5E" w:rsidRPr="003853A8" w:rsidRDefault="00073EBC" w:rsidP="007530F5">
      <w:pPr>
        <w:pStyle w:val="Default"/>
        <w:ind w:firstLineChars="100" w:firstLine="251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ＩＲ推進局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所管事項に関わる事業について、主催者から後援名義の使用承認</w:t>
      </w:r>
      <w:r w:rsidR="007530F5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　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申請があったとき</w:t>
      </w:r>
      <w:r w:rsidR="005E4A38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の承認は</w:t>
      </w:r>
      <w:r w:rsidR="00827BEC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、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下記の基準によ</w:t>
      </w:r>
      <w:r w:rsidR="00BC4EA9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る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。</w:t>
      </w:r>
    </w:p>
    <w:p w14:paraId="05228C63" w14:textId="77777777" w:rsidR="00862E5E" w:rsidRPr="003853A8" w:rsidRDefault="00862E5E" w:rsidP="005C521E">
      <w:pPr>
        <w:pStyle w:val="Default"/>
        <w:rPr>
          <w:rFonts w:ascii="游ゴシック" w:eastAsia="游ゴシック" w:hAnsi="游ゴシック"/>
          <w:color w:val="auto"/>
          <w:sz w:val="22"/>
          <w:szCs w:val="22"/>
        </w:rPr>
      </w:pPr>
    </w:p>
    <w:p w14:paraId="19706A8A" w14:textId="77777777" w:rsidR="00862E5E" w:rsidRPr="003853A8" w:rsidRDefault="00862E5E" w:rsidP="00862E5E">
      <w:pPr>
        <w:pStyle w:val="Default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/>
          <w:color w:val="auto"/>
          <w:sz w:val="22"/>
          <w:szCs w:val="22"/>
        </w:rPr>
        <w:t>１</w:t>
      </w: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　</w:t>
      </w:r>
      <w:r w:rsidRPr="003853A8">
        <w:rPr>
          <w:rFonts w:ascii="游ゴシック" w:eastAsia="游ゴシック" w:hAnsi="游ゴシック"/>
          <w:color w:val="auto"/>
          <w:sz w:val="22"/>
          <w:szCs w:val="22"/>
        </w:rPr>
        <w:t>主催者についての承認基準</w:t>
      </w:r>
    </w:p>
    <w:p w14:paraId="08B3E8EF" w14:textId="77777777" w:rsidR="00862E5E" w:rsidRPr="003853A8" w:rsidRDefault="005C521E" w:rsidP="005C521E">
      <w:pPr>
        <w:pStyle w:val="Default"/>
        <w:ind w:leftChars="100" w:left="492" w:hangingChars="100" w:hanging="251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(1)　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次のいずれかに該当する</w:t>
      </w:r>
      <w:r w:rsidR="00343A6D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団体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であること。</w:t>
      </w:r>
    </w:p>
    <w:p w14:paraId="78FBC029" w14:textId="77777777" w:rsidR="00862E5E" w:rsidRPr="003853A8" w:rsidRDefault="00804AAF" w:rsidP="005C521E">
      <w:pPr>
        <w:pStyle w:val="Default"/>
        <w:ind w:firstLineChars="200" w:firstLine="502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ア　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国</w:t>
      </w:r>
    </w:p>
    <w:p w14:paraId="6D07CC98" w14:textId="77777777" w:rsidR="00862E5E" w:rsidRPr="003853A8" w:rsidRDefault="00804AAF" w:rsidP="00827BEC">
      <w:pPr>
        <w:pStyle w:val="Default"/>
        <w:ind w:firstLineChars="200" w:firstLine="502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イ　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地方公共団体</w:t>
      </w:r>
    </w:p>
    <w:p w14:paraId="5F40CC0B" w14:textId="77777777" w:rsidR="00862E5E" w:rsidRPr="003853A8" w:rsidRDefault="00804AAF" w:rsidP="003F5D09">
      <w:pPr>
        <w:pStyle w:val="Default"/>
        <w:ind w:leftChars="200" w:left="733" w:hangingChars="100" w:hanging="251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ウ　</w:t>
      </w:r>
      <w:r w:rsidR="00862E5E" w:rsidRPr="003853A8">
        <w:rPr>
          <w:rFonts w:ascii="游ゴシック" w:eastAsia="游ゴシック" w:hAnsi="游ゴシック"/>
          <w:color w:val="auto"/>
          <w:sz w:val="22"/>
          <w:szCs w:val="22"/>
        </w:rPr>
        <w:t>公的団体又はこれに準ずる団体</w:t>
      </w:r>
      <w:r w:rsidR="00AA2505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（法人格は問わないが、規約、会則等の定めがあり、団体の所在地、目的、組織体制が明確であり、事業遂行能力が十分あると認められる団体）</w:t>
      </w:r>
    </w:p>
    <w:p w14:paraId="53E0A054" w14:textId="77777777" w:rsidR="00370A87" w:rsidRPr="003853A8" w:rsidRDefault="00370A87" w:rsidP="003F5D09">
      <w:pPr>
        <w:pStyle w:val="Default"/>
        <w:ind w:leftChars="200" w:left="733" w:hangingChars="100" w:hanging="251"/>
        <w:rPr>
          <w:rFonts w:ascii="游ゴシック" w:eastAsia="游ゴシック" w:hAnsi="游ゴシック"/>
          <w:strike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エ　報道機関・大学</w:t>
      </w:r>
    </w:p>
    <w:p w14:paraId="6B73AAA7" w14:textId="77777777" w:rsidR="00804AAF" w:rsidRPr="003853A8" w:rsidRDefault="00AA2505" w:rsidP="0048016A">
      <w:pPr>
        <w:pStyle w:val="Default"/>
        <w:ind w:leftChars="100" w:left="743" w:hangingChars="200" w:hanging="502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 </w:t>
      </w:r>
      <w:r w:rsidR="005C521E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(2)　(1)</w:t>
      </w:r>
      <w:r w:rsidR="00343A6D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のウに該当する団体</w:t>
      </w:r>
      <w:r w:rsidR="005C521E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で</w:t>
      </w:r>
      <w:r w:rsidR="00343A6D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、</w:t>
      </w:r>
      <w:r w:rsidR="00664A4B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次のいずれかに該当する場合には</w:t>
      </w:r>
      <w:r w:rsidR="005C521E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、(1)</w:t>
      </w:r>
      <w:r w:rsidR="00664A4B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の規定にかかわらず、</w:t>
      </w:r>
      <w:r w:rsidR="00973C29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承認の対象</w:t>
      </w:r>
      <w:r w:rsidR="00664A4B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団体とは</w:t>
      </w:r>
      <w:r w:rsidR="00973C29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しない。</w:t>
      </w:r>
    </w:p>
    <w:p w14:paraId="4F66B756" w14:textId="77777777" w:rsidR="003570E7" w:rsidRDefault="003570E7" w:rsidP="005C521E">
      <w:pPr>
        <w:pStyle w:val="Default"/>
        <w:ind w:firstLineChars="200" w:firstLine="502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ア　</w:t>
      </w:r>
      <w:r w:rsidRPr="003853A8">
        <w:rPr>
          <w:rFonts w:ascii="游ゴシック" w:eastAsia="游ゴシック" w:hAnsi="游ゴシック"/>
          <w:color w:val="auto"/>
          <w:sz w:val="22"/>
          <w:szCs w:val="22"/>
        </w:rPr>
        <w:t>政治的又は宗教的な普及・宣伝活動を行う団体</w:t>
      </w:r>
    </w:p>
    <w:p w14:paraId="32944306" w14:textId="77777777" w:rsidR="0084793B" w:rsidRPr="003853A8" w:rsidRDefault="0084793B" w:rsidP="00F53838">
      <w:pPr>
        <w:pStyle w:val="Default"/>
        <w:ind w:leftChars="197" w:left="726" w:hangingChars="100" w:hanging="251"/>
        <w:rPr>
          <w:rFonts w:ascii="游ゴシック" w:eastAsia="游ゴシック" w:hAnsi="游ゴシック"/>
          <w:color w:val="auto"/>
          <w:sz w:val="22"/>
          <w:szCs w:val="22"/>
        </w:rPr>
      </w:pPr>
      <w:r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イ　</w:t>
      </w:r>
      <w:r w:rsidRPr="0084793B">
        <w:rPr>
          <w:rFonts w:ascii="游ゴシック" w:eastAsia="游ゴシック" w:hAnsi="游ゴシック" w:hint="eastAsia"/>
          <w:color w:val="auto"/>
          <w:sz w:val="22"/>
          <w:szCs w:val="22"/>
        </w:rPr>
        <w:t>大阪府暴力団排除条例（平成22年大阪府条例第58号）第2条第2号に規定する暴力団員又は同条第4号に規定する暴力団密接関係者が構成員である団体</w:t>
      </w:r>
    </w:p>
    <w:p w14:paraId="1E6F7A67" w14:textId="42284340" w:rsidR="000C336C" w:rsidRPr="003853A8" w:rsidRDefault="00E767A0" w:rsidP="00AC15F3">
      <w:pPr>
        <w:pStyle w:val="Default"/>
        <w:ind w:leftChars="78" w:left="188" w:firstLineChars="100" w:firstLine="251"/>
        <w:rPr>
          <w:rFonts w:ascii="游ゴシック" w:eastAsia="游ゴシック" w:hAnsi="游ゴシック"/>
          <w:color w:val="auto"/>
          <w:sz w:val="22"/>
          <w:szCs w:val="22"/>
        </w:rPr>
      </w:pPr>
      <w:r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ウ</w:t>
      </w:r>
      <w:r w:rsidR="000C336C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　過去に</w:t>
      </w:r>
      <w:r w:rsidR="00960DC9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後援名義使用</w:t>
      </w:r>
      <w:r w:rsidR="000C336C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事業報告書の提出等承認条件を履行しなかった団体</w:t>
      </w:r>
    </w:p>
    <w:p w14:paraId="5AC43E96" w14:textId="6D843DDF" w:rsidR="003F5D09" w:rsidRPr="003853A8" w:rsidRDefault="004116A8" w:rsidP="00AC15F3">
      <w:pPr>
        <w:pStyle w:val="Default"/>
        <w:ind w:left="627" w:hangingChars="250" w:hanging="627"/>
        <w:rPr>
          <w:rFonts w:ascii="游ゴシック" w:eastAsia="游ゴシック" w:hAnsi="游ゴシック"/>
          <w:color w:val="auto"/>
          <w:sz w:val="22"/>
          <w:szCs w:val="22"/>
        </w:rPr>
      </w:pPr>
      <w:r w:rsidRPr="00E767A0">
        <w:rPr>
          <w:rFonts w:ascii="游ゴシック" w:eastAsia="游ゴシック" w:hAnsi="游ゴシック" w:hint="eastAsia"/>
          <w:color w:val="FF0000"/>
          <w:sz w:val="22"/>
          <w:szCs w:val="22"/>
        </w:rPr>
        <w:t xml:space="preserve">　</w:t>
      </w:r>
      <w:r w:rsidR="000C336C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　　</w:t>
      </w:r>
    </w:p>
    <w:p w14:paraId="35A1DEAE" w14:textId="77777777" w:rsidR="00862E5E" w:rsidRPr="003853A8" w:rsidRDefault="00862E5E" w:rsidP="00862E5E">
      <w:pPr>
        <w:pStyle w:val="Default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/>
          <w:color w:val="auto"/>
          <w:sz w:val="22"/>
          <w:szCs w:val="22"/>
        </w:rPr>
        <w:t>２</w:t>
      </w:r>
      <w:r w:rsidR="005C521E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　</w:t>
      </w:r>
      <w:r w:rsidRPr="003853A8">
        <w:rPr>
          <w:rFonts w:ascii="游ゴシック" w:eastAsia="游ゴシック" w:hAnsi="游ゴシック"/>
          <w:color w:val="auto"/>
          <w:sz w:val="22"/>
          <w:szCs w:val="22"/>
        </w:rPr>
        <w:t>事業についての承認基準</w:t>
      </w:r>
    </w:p>
    <w:p w14:paraId="1DE8790D" w14:textId="77777777" w:rsidR="00862E5E" w:rsidRPr="003853A8" w:rsidRDefault="00862E5E" w:rsidP="003F5D09">
      <w:pPr>
        <w:pStyle w:val="Default"/>
        <w:ind w:leftChars="100" w:left="241" w:firstLineChars="100" w:firstLine="251"/>
        <w:rPr>
          <w:rFonts w:ascii="游ゴシック" w:eastAsia="游ゴシック" w:hAnsi="游ゴシック"/>
          <w:color w:val="auto"/>
          <w:sz w:val="22"/>
          <w:szCs w:val="22"/>
        </w:rPr>
      </w:pPr>
      <w:r w:rsidRPr="003853A8">
        <w:rPr>
          <w:rFonts w:ascii="游ゴシック" w:eastAsia="游ゴシック" w:hAnsi="游ゴシック"/>
          <w:color w:val="auto"/>
          <w:sz w:val="22"/>
          <w:szCs w:val="22"/>
        </w:rPr>
        <w:t>後援</w:t>
      </w:r>
      <w:r w:rsidR="003F5D09" w:rsidRPr="003853A8">
        <w:rPr>
          <w:rFonts w:ascii="游ゴシック" w:eastAsia="游ゴシック" w:hAnsi="游ゴシック"/>
          <w:color w:val="auto"/>
          <w:sz w:val="22"/>
          <w:szCs w:val="22"/>
        </w:rPr>
        <w:t>名義の使用承認を受ける事業は</w:t>
      </w:r>
      <w:r w:rsidR="003F5D09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、</w:t>
      </w:r>
      <w:r w:rsidR="003F5D09" w:rsidRPr="003853A8">
        <w:rPr>
          <w:rFonts w:ascii="游ゴシック" w:eastAsia="游ゴシック" w:hAnsi="游ゴシック"/>
          <w:color w:val="auto"/>
          <w:sz w:val="22"/>
          <w:szCs w:val="22"/>
        </w:rPr>
        <w:t>次に掲げる事項のいずれにも該当す</w:t>
      </w:r>
      <w:r w:rsidR="00955B26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る</w:t>
      </w:r>
      <w:r w:rsidR="003F5D09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こ</w:t>
      </w:r>
      <w:r w:rsidRPr="003853A8">
        <w:rPr>
          <w:rFonts w:ascii="游ゴシック" w:eastAsia="游ゴシック" w:hAnsi="游ゴシック"/>
          <w:color w:val="auto"/>
          <w:sz w:val="22"/>
          <w:szCs w:val="22"/>
        </w:rPr>
        <w:t>と</w:t>
      </w:r>
      <w:r w:rsidR="003F5D09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。</w:t>
      </w:r>
    </w:p>
    <w:p w14:paraId="7A78B844" w14:textId="5DA81020" w:rsidR="00A07E47" w:rsidRPr="00AB6569" w:rsidRDefault="005C521E" w:rsidP="00AA2505">
      <w:pPr>
        <w:pStyle w:val="Default"/>
        <w:ind w:leftChars="100" w:left="743" w:hangingChars="200" w:hanging="502"/>
        <w:rPr>
          <w:rFonts w:ascii="游ゴシック" w:eastAsia="游ゴシック" w:hAnsi="游ゴシック"/>
          <w:color w:val="auto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auto"/>
          <w:sz w:val="22"/>
          <w:szCs w:val="22"/>
        </w:rPr>
        <w:t xml:space="preserve">(1)　</w:t>
      </w:r>
      <w:r w:rsidR="00862E5E"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事業目的が、</w:t>
      </w:r>
      <w:r w:rsidR="00AA2505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ＩＲの</w:t>
      </w:r>
      <w:r w:rsidR="00B206DC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実現に向けた取組みの</w:t>
      </w:r>
      <w:r w:rsidR="00AA2505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推進</w:t>
      </w:r>
      <w:r w:rsidR="00CA20A2"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に</w:t>
      </w:r>
      <w:r w:rsidR="007442A9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寄与</w:t>
      </w:r>
      <w:r w:rsidR="00666C9B" w:rsidRPr="00AB6569">
        <w:rPr>
          <w:rFonts w:ascii="游ゴシック" w:eastAsia="游ゴシック" w:hAnsi="游ゴシック" w:hint="eastAsia"/>
          <w:color w:val="auto"/>
          <w:sz w:val="22"/>
          <w:szCs w:val="22"/>
        </w:rPr>
        <w:t>し、</w:t>
      </w:r>
      <w:r w:rsidR="0009275D" w:rsidRPr="00AB6569">
        <w:rPr>
          <w:rFonts w:ascii="游ゴシック" w:eastAsia="游ゴシック" w:hAnsi="游ゴシック" w:hint="eastAsia"/>
          <w:color w:val="auto"/>
          <w:sz w:val="22"/>
          <w:szCs w:val="22"/>
        </w:rPr>
        <w:t>公共</w:t>
      </w:r>
      <w:r w:rsidR="003F5D09" w:rsidRPr="00AB6569">
        <w:rPr>
          <w:rFonts w:ascii="游ゴシック" w:eastAsia="游ゴシック" w:hAnsi="游ゴシック" w:hint="eastAsia"/>
          <w:color w:val="auto"/>
          <w:sz w:val="22"/>
          <w:szCs w:val="22"/>
        </w:rPr>
        <w:t>性</w:t>
      </w:r>
      <w:r w:rsidR="00862E5E" w:rsidRPr="00AB6569">
        <w:rPr>
          <w:rFonts w:ascii="游ゴシック" w:eastAsia="游ゴシック" w:hAnsi="游ゴシック"/>
          <w:color w:val="auto"/>
          <w:sz w:val="22"/>
          <w:szCs w:val="22"/>
        </w:rPr>
        <w:t>があること。</w:t>
      </w:r>
    </w:p>
    <w:p w14:paraId="4B9EAA30" w14:textId="3D50BF75" w:rsidR="00E767A0" w:rsidRPr="00AB6569" w:rsidRDefault="00482257" w:rsidP="00AB6569">
      <w:pPr>
        <w:pStyle w:val="Default"/>
        <w:ind w:firstLineChars="100" w:firstLine="251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(2)　</w:t>
      </w:r>
      <w:r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政治的又は宗教的な普及・宣伝</w:t>
      </w: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活動</w:t>
      </w:r>
      <w:r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と受け取られないこと。</w:t>
      </w:r>
    </w:p>
    <w:p w14:paraId="75E08CA4" w14:textId="110A5668" w:rsidR="00A07E47" w:rsidRPr="00AB6569" w:rsidRDefault="00482257" w:rsidP="00AB6569">
      <w:pPr>
        <w:pStyle w:val="Default"/>
        <w:ind w:firstLineChars="100" w:firstLine="251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(3)　</w:t>
      </w:r>
      <w:r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営利を目的</w:t>
      </w:r>
      <w:r w:rsidR="00595B3C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としないこと。</w:t>
      </w:r>
    </w:p>
    <w:p w14:paraId="4E7342F5" w14:textId="106E81D7" w:rsidR="00FD77FE" w:rsidRPr="00AB6569" w:rsidRDefault="00482257" w:rsidP="00AB6569">
      <w:pPr>
        <w:pStyle w:val="Default"/>
        <w:ind w:firstLineChars="100" w:firstLine="251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</w:rPr>
        <w:t>(4)　公序良俗に反しないこと。</w:t>
      </w:r>
    </w:p>
    <w:p w14:paraId="536FC76F" w14:textId="55E11684" w:rsidR="00960DC9" w:rsidRPr="00AB6569" w:rsidRDefault="005A4F7A" w:rsidP="00AB6569">
      <w:pPr>
        <w:pStyle w:val="Default"/>
        <w:ind w:leftChars="100" w:left="617" w:hangingChars="150" w:hanging="376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(5</w:t>
      </w:r>
      <w:r w:rsidR="00482257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)　</w:t>
      </w:r>
      <w:r w:rsidR="00482257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大阪府暴力団排除条例（平成２２年大阪府条例第５８号）第２条第１号に規定する暴力団の利益になり、又はその</w:t>
      </w:r>
      <w:r w:rsidR="00CF2C7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おそ</w:t>
      </w:r>
      <w:r w:rsidR="00482257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れがあると認められないこと。</w:t>
      </w:r>
    </w:p>
    <w:p w14:paraId="5A745EAC" w14:textId="59F2DFD4" w:rsidR="00952EF1" w:rsidRPr="00AB6569" w:rsidRDefault="005A4F7A" w:rsidP="00453614">
      <w:pPr>
        <w:pStyle w:val="Default"/>
        <w:ind w:leftChars="100" w:left="617" w:hangingChars="150" w:hanging="376"/>
        <w:rPr>
          <w:rFonts w:ascii="游ゴシック" w:eastAsia="游ゴシック" w:hAnsi="游ゴシック"/>
          <w:color w:val="auto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(6</w:t>
      </w:r>
      <w:r w:rsidR="0009275D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)　</w:t>
      </w:r>
      <w:r w:rsidR="00AA250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大阪府の後援名義の使用に当たっては、</w:t>
      </w:r>
      <w:r w:rsidR="00664A4B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広く</w:t>
      </w:r>
      <w:r w:rsidR="00482257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大阪</w:t>
      </w: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府民全体を対象とし、原</w:t>
      </w:r>
      <w:r w:rsidR="00664A4B" w:rsidRPr="00AB6569">
        <w:rPr>
          <w:rFonts w:ascii="游ゴシック" w:eastAsia="游ゴシック" w:hAnsi="游ゴシック" w:hint="eastAsia"/>
          <w:color w:val="auto"/>
          <w:sz w:val="22"/>
          <w:szCs w:val="22"/>
        </w:rPr>
        <w:t>則として</w:t>
      </w:r>
      <w:r w:rsidR="00862E5E" w:rsidRPr="00AB6569">
        <w:rPr>
          <w:rFonts w:ascii="游ゴシック" w:eastAsia="游ゴシック" w:hAnsi="游ゴシック"/>
          <w:color w:val="auto"/>
          <w:sz w:val="22"/>
          <w:szCs w:val="22"/>
        </w:rPr>
        <w:t>府民が自由に参加できること</w:t>
      </w:r>
      <w:r w:rsidR="00CC6B10" w:rsidRPr="00AB6569">
        <w:rPr>
          <w:rFonts w:ascii="游ゴシック" w:eastAsia="游ゴシック" w:hAnsi="游ゴシック" w:hint="eastAsia"/>
          <w:color w:val="auto"/>
          <w:sz w:val="22"/>
          <w:szCs w:val="22"/>
        </w:rPr>
        <w:t>。</w:t>
      </w:r>
    </w:p>
    <w:p w14:paraId="158C7FC2" w14:textId="2203CC49" w:rsidR="00FD77FE" w:rsidRPr="00AB6569" w:rsidRDefault="005A4F7A" w:rsidP="00AB6569">
      <w:pPr>
        <w:pStyle w:val="Default"/>
        <w:ind w:leftChars="100" w:left="617" w:hangingChars="150" w:hanging="376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(7</w:t>
      </w:r>
      <w:r w:rsidR="00AA250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)　大阪市の後援名義の使用に当たっては、広く大阪市民全体を対象とし、原則として市民が自由に参加できること。</w:t>
      </w:r>
    </w:p>
    <w:p w14:paraId="48C9F71B" w14:textId="796F3D91" w:rsidR="00F53838" w:rsidRPr="00AB6569" w:rsidRDefault="005A4F7A" w:rsidP="00AB6569">
      <w:pPr>
        <w:pStyle w:val="Default"/>
        <w:ind w:leftChars="100" w:left="617" w:hangingChars="150" w:hanging="376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lastRenderedPageBreak/>
        <w:t>(8</w:t>
      </w:r>
      <w:r w:rsidR="00AA250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)</w:t>
      </w:r>
      <w:r w:rsidR="00482257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　</w:t>
      </w:r>
      <w:r w:rsidR="00AA250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大阪府の後援名義の使用に当たっては、</w:t>
      </w:r>
      <w:r w:rsidR="00A233D3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原則として、</w:t>
      </w:r>
      <w:r w:rsidR="00482257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大阪府の区域内で実施されること</w:t>
      </w:r>
      <w:r w:rsidR="00CC6B10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。</w:t>
      </w:r>
    </w:p>
    <w:p w14:paraId="0719A4FF" w14:textId="44FF488F" w:rsidR="00F53838" w:rsidRPr="00AB6569" w:rsidRDefault="005A4F7A" w:rsidP="00AB6569">
      <w:pPr>
        <w:pStyle w:val="Default"/>
        <w:ind w:leftChars="100" w:left="617" w:hangingChars="150" w:hanging="376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(9</w:t>
      </w:r>
      <w:r w:rsidR="00AA250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)　大阪市の後援名義の使用に当たっては、</w:t>
      </w:r>
      <w:r w:rsidR="00A233D3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原則として、</w:t>
      </w:r>
      <w:r w:rsidR="00AA250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大阪市の区域内で実施されること。</w:t>
      </w:r>
    </w:p>
    <w:p w14:paraId="7DDB8A79" w14:textId="7AAE2763" w:rsidR="00F53838" w:rsidRPr="00AB6569" w:rsidRDefault="005A4F7A" w:rsidP="00AB6569">
      <w:pPr>
        <w:pStyle w:val="Default"/>
        <w:ind w:leftChars="50" w:left="622" w:hangingChars="200" w:hanging="502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(10</w:t>
      </w:r>
      <w:r w:rsidR="00B0416B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)</w:t>
      </w:r>
      <w:r w:rsidR="00AB6569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 </w:t>
      </w:r>
      <w:r w:rsidR="00AB6569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 xml:space="preserve"> </w:t>
      </w:r>
      <w:r w:rsidR="00B0416B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事業実施に際して、金品の寄附</w:t>
      </w:r>
      <w:r w:rsidR="00B0416B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､</w:t>
      </w:r>
      <w:r w:rsidR="00B0416B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援助</w:t>
      </w:r>
      <w:r w:rsidR="00B0416B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､</w:t>
      </w:r>
      <w:r w:rsidR="00B0416B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事業参加等の強要の</w:t>
      </w:r>
      <w:r w:rsidR="00CF2C75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おそ</w:t>
      </w:r>
      <w:r w:rsidR="00FF05FD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れがない</w:t>
      </w:r>
      <w:r w:rsidR="00FF05FD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こ</w:t>
      </w:r>
      <w:r w:rsidR="00B0416B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と。</w:t>
      </w:r>
    </w:p>
    <w:p w14:paraId="6A5C3ADE" w14:textId="2EA04355" w:rsidR="00F53838" w:rsidRPr="00AB6569" w:rsidRDefault="005A4F7A" w:rsidP="00AB6569">
      <w:pPr>
        <w:pStyle w:val="Default"/>
        <w:ind w:leftChars="50" w:left="622" w:hangingChars="200" w:hanging="502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(11</w:t>
      </w:r>
      <w:r w:rsidR="0009275D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)　</w:t>
      </w:r>
      <w:r w:rsidR="00862E5E" w:rsidRPr="00AB6569">
        <w:rPr>
          <w:rFonts w:ascii="游ゴシック" w:eastAsia="游ゴシック" w:hAnsi="游ゴシック"/>
          <w:color w:val="000000" w:themeColor="text1"/>
          <w:sz w:val="22"/>
          <w:szCs w:val="22"/>
        </w:rPr>
        <w:t>参加料又は受講料等の徴収金がある場合には、当該徴収金の総額がその事業に要する経費の範囲内であること</w:t>
      </w:r>
      <w:r w:rsidR="00B0416B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。</w:t>
      </w:r>
    </w:p>
    <w:p w14:paraId="6F4B3AAD" w14:textId="45534B16" w:rsidR="00F53838" w:rsidRDefault="005A4F7A" w:rsidP="00AB6569">
      <w:pPr>
        <w:pStyle w:val="Default"/>
        <w:ind w:leftChars="50" w:left="622" w:hangingChars="200" w:hanging="502"/>
        <w:rPr>
          <w:rFonts w:ascii="游ゴシック" w:eastAsia="游ゴシック" w:hAnsi="游ゴシック"/>
          <w:color w:val="auto"/>
          <w:sz w:val="22"/>
          <w:szCs w:val="22"/>
        </w:rPr>
      </w:pPr>
      <w:r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(12</w:t>
      </w:r>
      <w:r w:rsidR="0009275D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)　</w:t>
      </w:r>
      <w:r w:rsidR="002A7146" w:rsidRPr="00AB656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事</w:t>
      </w:r>
      <w:r w:rsidR="002A7146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業の開催場所では、災害防止及び公衆衛生について、十分な設備及び措置が講じられる</w:t>
      </w:r>
      <w:r w:rsidR="007F45A6" w:rsidRPr="003853A8">
        <w:rPr>
          <w:rFonts w:ascii="游ゴシック" w:eastAsia="游ゴシック" w:hAnsi="游ゴシック" w:hint="eastAsia"/>
          <w:color w:val="auto"/>
          <w:sz w:val="22"/>
          <w:szCs w:val="22"/>
        </w:rPr>
        <w:t>こと。</w:t>
      </w:r>
    </w:p>
    <w:p w14:paraId="6E55294C" w14:textId="4BFC37B3" w:rsidR="00F53838" w:rsidRPr="00AC15F3" w:rsidRDefault="00FD77FE" w:rsidP="00AC15F3">
      <w:pPr>
        <w:pStyle w:val="Default"/>
        <w:ind w:firstLineChars="50" w:firstLine="125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(1</w:t>
      </w:r>
      <w:r w:rsidR="00AB6569"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3</w:t>
      </w:r>
      <w:r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)</w:t>
      </w:r>
      <w:r w:rsidR="0009275D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　</w:t>
      </w:r>
      <w:r w:rsidR="00FE554E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過去に後援名義の使用条件に違反したことがないこと。</w:t>
      </w:r>
    </w:p>
    <w:p w14:paraId="541E315C" w14:textId="2C49ABA3" w:rsidR="003F5D09" w:rsidRPr="00AC15F3" w:rsidRDefault="00FD77FE" w:rsidP="00AC15F3">
      <w:pPr>
        <w:pStyle w:val="Default"/>
        <w:ind w:firstLineChars="50" w:firstLine="125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(1</w:t>
      </w:r>
      <w:r w:rsidR="00AB6569"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4</w:t>
      </w:r>
      <w:r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)</w:t>
      </w:r>
      <w:r w:rsidR="0037097F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　</w:t>
      </w:r>
      <w:r w:rsidR="00862E5E"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その他</w:t>
      </w:r>
      <w:r w:rsidR="0037097F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、</w:t>
      </w:r>
      <w:r w:rsidR="00862E5E"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後援名義の使用承認を行うことが不適当と認められ</w:t>
      </w:r>
      <w:r w:rsidR="003F5D09" w:rsidRPr="00AC15F3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な</w:t>
      </w:r>
      <w:r w:rsidR="00862E5E" w:rsidRPr="00AC15F3">
        <w:rPr>
          <w:rFonts w:ascii="游ゴシック" w:eastAsia="游ゴシック" w:hAnsi="游ゴシック"/>
          <w:color w:val="000000" w:themeColor="text1"/>
          <w:sz w:val="22"/>
          <w:szCs w:val="22"/>
        </w:rPr>
        <w:t>いこと。</w:t>
      </w:r>
    </w:p>
    <w:p w14:paraId="25586DDD" w14:textId="77777777" w:rsidR="003F5D09" w:rsidRPr="00AC15F3" w:rsidRDefault="003F5D09" w:rsidP="00E21617">
      <w:pPr>
        <w:rPr>
          <w:rFonts w:ascii="游ゴシック" w:eastAsia="游ゴシック" w:hAnsi="游ゴシック"/>
          <w:color w:val="000000" w:themeColor="text1"/>
          <w:sz w:val="22"/>
        </w:rPr>
      </w:pPr>
    </w:p>
    <w:p w14:paraId="4C7B9026" w14:textId="77777777" w:rsidR="00E21617" w:rsidRPr="00AC15F3" w:rsidRDefault="00E21617" w:rsidP="00E21617">
      <w:pPr>
        <w:rPr>
          <w:rFonts w:ascii="游ゴシック" w:eastAsia="游ゴシック" w:hAnsi="游ゴシック"/>
          <w:color w:val="000000" w:themeColor="text1"/>
          <w:sz w:val="22"/>
        </w:rPr>
      </w:pPr>
      <w:r w:rsidRPr="00AC15F3">
        <w:rPr>
          <w:rFonts w:ascii="游ゴシック" w:eastAsia="游ゴシック" w:hAnsi="游ゴシック" w:hint="eastAsia"/>
          <w:color w:val="000000" w:themeColor="text1"/>
          <w:sz w:val="22"/>
        </w:rPr>
        <w:t>附　則</w:t>
      </w:r>
    </w:p>
    <w:p w14:paraId="3B55EBFB" w14:textId="77777777" w:rsidR="007F45A6" w:rsidRPr="00AC15F3" w:rsidRDefault="00E21617" w:rsidP="00E21617">
      <w:pPr>
        <w:rPr>
          <w:rFonts w:ascii="游ゴシック" w:eastAsia="游ゴシック" w:hAnsi="游ゴシック"/>
          <w:color w:val="000000" w:themeColor="text1"/>
          <w:sz w:val="22"/>
        </w:rPr>
      </w:pPr>
      <w:r w:rsidRPr="00AC15F3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この基準は、平成</w:t>
      </w:r>
      <w:r w:rsidR="00CD06DB" w:rsidRPr="00AC15F3">
        <w:rPr>
          <w:rFonts w:ascii="游ゴシック" w:eastAsia="游ゴシック" w:hAnsi="游ゴシック" w:hint="eastAsia"/>
          <w:color w:val="000000" w:themeColor="text1"/>
          <w:sz w:val="22"/>
        </w:rPr>
        <w:t>３０</w:t>
      </w:r>
      <w:r w:rsidRPr="00AC15F3">
        <w:rPr>
          <w:rFonts w:ascii="游ゴシック" w:eastAsia="游ゴシック" w:hAnsi="游ゴシック" w:hint="eastAsia"/>
          <w:color w:val="000000" w:themeColor="text1"/>
          <w:sz w:val="22"/>
        </w:rPr>
        <w:t>年</w:t>
      </w:r>
      <w:r w:rsidR="00CD06DB" w:rsidRPr="00AC15F3">
        <w:rPr>
          <w:rFonts w:ascii="游ゴシック" w:eastAsia="游ゴシック" w:hAnsi="游ゴシック" w:hint="eastAsia"/>
          <w:color w:val="000000" w:themeColor="text1"/>
          <w:sz w:val="22"/>
        </w:rPr>
        <w:t>１</w:t>
      </w:r>
      <w:r w:rsidRPr="00AC15F3">
        <w:rPr>
          <w:rFonts w:ascii="游ゴシック" w:eastAsia="游ゴシック" w:hAnsi="游ゴシック" w:hint="eastAsia"/>
          <w:color w:val="000000" w:themeColor="text1"/>
          <w:sz w:val="22"/>
        </w:rPr>
        <w:t>月</w:t>
      </w:r>
      <w:r w:rsidR="00CD06DB" w:rsidRPr="00AC15F3">
        <w:rPr>
          <w:rFonts w:ascii="游ゴシック" w:eastAsia="游ゴシック" w:hAnsi="游ゴシック" w:hint="eastAsia"/>
          <w:color w:val="000000" w:themeColor="text1"/>
          <w:sz w:val="22"/>
        </w:rPr>
        <w:t>１</w:t>
      </w:r>
      <w:r w:rsidRPr="00AC15F3">
        <w:rPr>
          <w:rFonts w:ascii="游ゴシック" w:eastAsia="游ゴシック" w:hAnsi="游ゴシック" w:hint="eastAsia"/>
          <w:color w:val="000000" w:themeColor="text1"/>
          <w:sz w:val="22"/>
        </w:rPr>
        <w:t>日から施行する。</w:t>
      </w:r>
    </w:p>
    <w:p w14:paraId="6A4ABE6B" w14:textId="77777777" w:rsidR="003853A8" w:rsidRPr="00AC15F3" w:rsidRDefault="003853A8" w:rsidP="003853A8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color w:val="000000" w:themeColor="text1"/>
          <w:kern w:val="0"/>
          <w:sz w:val="22"/>
        </w:rPr>
      </w:pP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附　則</w:t>
      </w:r>
    </w:p>
    <w:p w14:paraId="5077FE97" w14:textId="60AB0DC8" w:rsidR="004D7AAC" w:rsidRPr="00AC15F3" w:rsidRDefault="003853A8" w:rsidP="003853A8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color w:val="000000" w:themeColor="text1"/>
          <w:kern w:val="0"/>
          <w:sz w:val="22"/>
        </w:rPr>
      </w:pP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 xml:space="preserve">　</w:t>
      </w:r>
      <w:r w:rsidR="0084793B"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この基準は、平成３１年４</w:t>
      </w: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月</w:t>
      </w:r>
      <w:r w:rsidR="0084793B"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２４</w:t>
      </w:r>
      <w:r w:rsidR="00987315"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日から施行し、同日以降に実施する事業</w:t>
      </w: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に適用する。</w:t>
      </w:r>
    </w:p>
    <w:p w14:paraId="201BFB3C" w14:textId="77777777" w:rsidR="00FD77FE" w:rsidRPr="00AC15F3" w:rsidRDefault="00FD77FE" w:rsidP="00FD77F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color w:val="000000" w:themeColor="text1"/>
          <w:kern w:val="0"/>
          <w:sz w:val="22"/>
        </w:rPr>
      </w:pP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附　則</w:t>
      </w:r>
    </w:p>
    <w:p w14:paraId="1D3C8DBF" w14:textId="55C303C0" w:rsidR="00FD77FE" w:rsidRPr="00AC15F3" w:rsidRDefault="00FD77FE" w:rsidP="00FD77F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color w:val="000000" w:themeColor="text1"/>
          <w:kern w:val="0"/>
          <w:sz w:val="22"/>
        </w:rPr>
      </w:pP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 xml:space="preserve">　この基準は、令和</w:t>
      </w:r>
      <w:r w:rsidR="000D506E"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７</w:t>
      </w: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年</w:t>
      </w:r>
      <w:r w:rsidR="000C46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５</w:t>
      </w: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月</w:t>
      </w:r>
      <w:r w:rsidR="000C46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１</w:t>
      </w:r>
      <w:r w:rsidRPr="00AC15F3">
        <w:rPr>
          <w:rFonts w:ascii="游ゴシック" w:eastAsia="游ゴシック" w:hAnsi="游ゴシック" w:cs="ＭＳ 明朝" w:hint="eastAsia"/>
          <w:color w:val="000000" w:themeColor="text1"/>
          <w:kern w:val="0"/>
          <w:sz w:val="22"/>
        </w:rPr>
        <w:t>日から施行し、同日以降に実施する事業に適用する。</w:t>
      </w:r>
    </w:p>
    <w:sectPr w:rsidR="00FD77FE" w:rsidRPr="00AC15F3" w:rsidSect="00BD14E3">
      <w:pgSz w:w="11906" w:h="16838" w:code="9"/>
      <w:pgMar w:top="1134" w:right="1418" w:bottom="1134" w:left="1418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69AD" w14:textId="77777777" w:rsidR="00655EE8" w:rsidRDefault="00655EE8" w:rsidP="00862E5E">
      <w:r>
        <w:separator/>
      </w:r>
    </w:p>
  </w:endnote>
  <w:endnote w:type="continuationSeparator" w:id="0">
    <w:p w14:paraId="32B02A23" w14:textId="77777777" w:rsidR="00655EE8" w:rsidRDefault="00655EE8" w:rsidP="0086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BA07" w14:textId="77777777" w:rsidR="00655EE8" w:rsidRDefault="00655EE8" w:rsidP="00862E5E">
      <w:r>
        <w:separator/>
      </w:r>
    </w:p>
  </w:footnote>
  <w:footnote w:type="continuationSeparator" w:id="0">
    <w:p w14:paraId="2F60725D" w14:textId="77777777" w:rsidR="00655EE8" w:rsidRDefault="00655EE8" w:rsidP="0086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BC"/>
    <w:rsid w:val="00056990"/>
    <w:rsid w:val="00064C11"/>
    <w:rsid w:val="00073EBC"/>
    <w:rsid w:val="0009275D"/>
    <w:rsid w:val="000A1AC3"/>
    <w:rsid w:val="000B4A9F"/>
    <w:rsid w:val="000C336C"/>
    <w:rsid w:val="000C46F3"/>
    <w:rsid w:val="000D506E"/>
    <w:rsid w:val="0014780B"/>
    <w:rsid w:val="00155E76"/>
    <w:rsid w:val="00163DAF"/>
    <w:rsid w:val="00184BDD"/>
    <w:rsid w:val="001A3276"/>
    <w:rsid w:val="001E26BC"/>
    <w:rsid w:val="00284541"/>
    <w:rsid w:val="002A7146"/>
    <w:rsid w:val="002E0BDD"/>
    <w:rsid w:val="00337184"/>
    <w:rsid w:val="00343A6D"/>
    <w:rsid w:val="003476DA"/>
    <w:rsid w:val="003570E7"/>
    <w:rsid w:val="0037097F"/>
    <w:rsid w:val="00370A87"/>
    <w:rsid w:val="003853A8"/>
    <w:rsid w:val="003A59AA"/>
    <w:rsid w:val="003B6AEE"/>
    <w:rsid w:val="003F5D09"/>
    <w:rsid w:val="004116A8"/>
    <w:rsid w:val="004174B0"/>
    <w:rsid w:val="00453614"/>
    <w:rsid w:val="00457221"/>
    <w:rsid w:val="004673B5"/>
    <w:rsid w:val="004766FC"/>
    <w:rsid w:val="0048016A"/>
    <w:rsid w:val="00482257"/>
    <w:rsid w:val="004B454E"/>
    <w:rsid w:val="004D7AAC"/>
    <w:rsid w:val="004F6BE1"/>
    <w:rsid w:val="00511D04"/>
    <w:rsid w:val="005372ED"/>
    <w:rsid w:val="00595B3C"/>
    <w:rsid w:val="005A4F7A"/>
    <w:rsid w:val="005C521E"/>
    <w:rsid w:val="005E4A38"/>
    <w:rsid w:val="006218DE"/>
    <w:rsid w:val="006302EE"/>
    <w:rsid w:val="00655EE8"/>
    <w:rsid w:val="00664A4B"/>
    <w:rsid w:val="00666C9B"/>
    <w:rsid w:val="006A5892"/>
    <w:rsid w:val="007046F2"/>
    <w:rsid w:val="00710594"/>
    <w:rsid w:val="00717AAA"/>
    <w:rsid w:val="00721CBB"/>
    <w:rsid w:val="007442A9"/>
    <w:rsid w:val="007530F5"/>
    <w:rsid w:val="00786072"/>
    <w:rsid w:val="00793251"/>
    <w:rsid w:val="00793671"/>
    <w:rsid w:val="007B448C"/>
    <w:rsid w:val="007B7154"/>
    <w:rsid w:val="007F45A6"/>
    <w:rsid w:val="00804AAF"/>
    <w:rsid w:val="00827BEC"/>
    <w:rsid w:val="0084793B"/>
    <w:rsid w:val="00862E5E"/>
    <w:rsid w:val="008D5AEC"/>
    <w:rsid w:val="00952EF1"/>
    <w:rsid w:val="00955B26"/>
    <w:rsid w:val="00960DC9"/>
    <w:rsid w:val="00973C29"/>
    <w:rsid w:val="00975A88"/>
    <w:rsid w:val="00987315"/>
    <w:rsid w:val="009970A7"/>
    <w:rsid w:val="009C6E8C"/>
    <w:rsid w:val="00A07E47"/>
    <w:rsid w:val="00A233D3"/>
    <w:rsid w:val="00A52125"/>
    <w:rsid w:val="00A6590D"/>
    <w:rsid w:val="00A95461"/>
    <w:rsid w:val="00AA2505"/>
    <w:rsid w:val="00AB6569"/>
    <w:rsid w:val="00AC15F3"/>
    <w:rsid w:val="00AC16D6"/>
    <w:rsid w:val="00AE6032"/>
    <w:rsid w:val="00AE717D"/>
    <w:rsid w:val="00B0416B"/>
    <w:rsid w:val="00B206DC"/>
    <w:rsid w:val="00B300A6"/>
    <w:rsid w:val="00B36FCF"/>
    <w:rsid w:val="00BA3564"/>
    <w:rsid w:val="00BA4610"/>
    <w:rsid w:val="00BB46AD"/>
    <w:rsid w:val="00BC4EA9"/>
    <w:rsid w:val="00BD03A1"/>
    <w:rsid w:val="00BD14E3"/>
    <w:rsid w:val="00C074F5"/>
    <w:rsid w:val="00C248C4"/>
    <w:rsid w:val="00CA20A2"/>
    <w:rsid w:val="00CB40D7"/>
    <w:rsid w:val="00CB43A3"/>
    <w:rsid w:val="00CC5188"/>
    <w:rsid w:val="00CC6B10"/>
    <w:rsid w:val="00CD06DB"/>
    <w:rsid w:val="00CF2C75"/>
    <w:rsid w:val="00D0782C"/>
    <w:rsid w:val="00D55E77"/>
    <w:rsid w:val="00D77E92"/>
    <w:rsid w:val="00D90355"/>
    <w:rsid w:val="00DA5AE3"/>
    <w:rsid w:val="00E11F3E"/>
    <w:rsid w:val="00E21617"/>
    <w:rsid w:val="00E22C6B"/>
    <w:rsid w:val="00E33660"/>
    <w:rsid w:val="00E767A0"/>
    <w:rsid w:val="00E8675D"/>
    <w:rsid w:val="00EA5188"/>
    <w:rsid w:val="00EC42E2"/>
    <w:rsid w:val="00EC5025"/>
    <w:rsid w:val="00F125AA"/>
    <w:rsid w:val="00F15D72"/>
    <w:rsid w:val="00F53838"/>
    <w:rsid w:val="00F874FE"/>
    <w:rsid w:val="00FA1027"/>
    <w:rsid w:val="00FB442C"/>
    <w:rsid w:val="00FB74A8"/>
    <w:rsid w:val="00FD77FE"/>
    <w:rsid w:val="00FE554E"/>
    <w:rsid w:val="00FF05C3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10F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5E"/>
  </w:style>
  <w:style w:type="paragraph" w:styleId="a5">
    <w:name w:val="footer"/>
    <w:basedOn w:val="a"/>
    <w:link w:val="a6"/>
    <w:uiPriority w:val="99"/>
    <w:unhideWhenUsed/>
    <w:rsid w:val="00862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5E"/>
  </w:style>
  <w:style w:type="paragraph" w:customStyle="1" w:styleId="Default">
    <w:name w:val="Default"/>
    <w:rsid w:val="00862E5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161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21617"/>
    <w:rPr>
      <w:szCs w:val="21"/>
    </w:rPr>
  </w:style>
  <w:style w:type="paragraph" w:styleId="a9">
    <w:name w:val="Closing"/>
    <w:basedOn w:val="a"/>
    <w:link w:val="aa"/>
    <w:uiPriority w:val="99"/>
    <w:unhideWhenUsed/>
    <w:rsid w:val="00E2161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21617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8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C411-0014-4443-9A1D-5671C20E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2025-04-30T01:51:00Z</dcterms:created>
  <dcterms:modified xsi:type="dcterms:W3CDTF">2025-04-30T01:51:00Z</dcterms:modified>
</cp:coreProperties>
</file>