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A9" w:rsidRDefault="002B261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○大阪府日本万国博覧会記念公園条例</w:t>
      </w:r>
    </w:p>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平成二十五年十二月二十四日</w:t>
      </w:r>
    </w:p>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大阪府条例第百二号</w:t>
      </w:r>
    </w:p>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平成二六年三月二七日条例第二五号</w:t>
      </w:r>
    </w:p>
    <w:p w:rsidR="00BA3DA9" w:rsidRDefault="002B261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大阪府日本万国博覧会記念公園条例を公布する。</w:t>
      </w:r>
    </w:p>
    <w:p w:rsidR="00BA3DA9" w:rsidRDefault="002B261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大阪府日本万国博覧会記念公園条例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条例は、人類の進歩と調和を主題として開催された日本万国博覧会の跡地（独立行政法人日本万国博覧会記念機構法を廃止する法律（平成二十五年法律第十九号）附則第二条第四項の規定により府が承継する土地及び同法附則別表に掲げる土地をいう。）を、その理念を継承して日本万国博覧会記念公園（以下「日本万博記念公園」という。）として一体として管理し、これを緑に包まれた文化公園として運営するとともに、都市の魅力の創出を図ることを目的とす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府民に緑に包まれた憩い及び活動の場を提供し、もって府民の健康で文化的な生活の確保に資するため、大阪府立万国博覧会記念公園（以下「万博公園」という。）を吹田市千里万博公園、清水、山田北、山田東三丁目及び山田東四丁目並びに茨木市</w:t>
      </w:r>
      <w:bookmarkStart w:id="0" w:name="_GoBack"/>
      <w:bookmarkEnd w:id="0"/>
      <w:r>
        <w:rPr>
          <w:rFonts w:ascii="ＭＳ 明朝" w:eastAsia="ＭＳ 明朝" w:hAnsi="ＭＳ 明朝" w:cs="ＭＳ 明朝" w:hint="eastAsia"/>
          <w:color w:val="000000"/>
          <w:kern w:val="0"/>
          <w:szCs w:val="21"/>
        </w:rPr>
        <w:t>南春日丘三丁目及び南春日丘五丁目地内に設置する。</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知事は、規則で定めるところにより、日本万博記念公園における万博公園の区域を公示し、かつ、当該区域を記載した図書を一般の縦覧に供さなければならない。</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府は、第一条の目的（第一号に掲げる事業にあっては、前条第一項の目的を含む。）を達成するため、次に掲げる事業を行う。</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万博公園の緑地を管理し、万博公園に各種の施設を設置するほか、万博公園を管理し、及び運営すること。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日本万博記念公園のにぎわいの創出に資する事業を行うこと。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前二号に掲げるもののほか、日本万博記念公園の管理運営に必要な事業を行うこと。</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前項の日本万博記念公園の事業の経理は、特別会計において行うものとする。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（審議会への諮問）</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知事は、日本万博記念公園の運営方針を定め、又はその変更（軽微なものを除く。）をしようとするときは、あらかじめ、大阪府日本万国博覧会記念公園運営審議会（以下「審議会」という。）に諮問し、その意見を聴かなければならない。</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前項に規定する場合のほか、知事は、日本万博記念公園の管理運営に関する重要事項について、審議会の意見を聴くことができる。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（行為の許可）</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万博公園において次に掲げる行為をしようとする者は、知事の許可を受けなければならない。許可を受けた事項を変更しようとするときも、同様とする。</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はり紙若しくははり札をし、又は広告を表示すること。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ロケーション又は業として写真撮影をすること。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競技会、集会、展示会、博覧会その他これらに類する催しのために万博公園の全部又は一部を使用すること。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別表に掲げる万博公園の施設を使用すること。</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前項の許可を受けようとする者は、次に掲げる事項を記載した申請書を知事に提出しなければならない。ただし、前項第四号に該当する場合において規則で定める施設を使用するときは、この限りでない。</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氏名、住所及び生年月日（法人にあっては、その名称、代表者の氏名及び生年月日並びに事務所の所在地）</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二　行為の目的</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行為の期間</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行為を行う場所</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行為の内容</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前各号に掲げるもののほか、知事の定める事項</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知事は、第一項各号に掲げる行為が次の各号のいずれかに該当するときは、同項の許可を与えない。</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暴力団員による不当な行為の防止等に関する法律（平成三年法律第七十七号）第二条第二号に規定する暴力団（以下「暴力団」という。）の利益になり、又はなるおそれがあると認められるとき。</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前号に掲げるもののほか、万博公園の管理上支障があると認められるとき。</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知事は、第一項の許可に万博公園の管理上必要な条件を付することができる。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（行為の禁止）</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万博公園においては、何人も、みだりに次に掲げる行為をしてはならない。</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万博公園を損傷し、又は汚損すること。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土地の形質を変更すること。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竹木を伐採し、又は植物を採取すること。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土石、竹木等の物件を堆積すること。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動物を捕獲し、又は殺傷すること。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指定された場所以外の場所でたき火をすること。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立入禁止区域に立ち入ること。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指定された場所以外の場所に車両を乗り入れ、又はとめおくこと。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万博公園の施設をその用途外に使用すること。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別表に掲げる万博公園の施設に犬、猫その他の動物（身体障害者補助犬法（平成十四年法律第四十九号）第二条第一項に規定する身体障害者補助犬を除く。）を持ち込むこと。</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他の来園者又は近隣住民に危害を及ぼすおそれのある行為又は著しく迷惑を及ぼすおそれのある行為をすること。</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（利用の禁止又は制限）</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知事は、災害その他の理由により万博公園の利用が危険であると認める場合又は災害時に万博公園を応急施設の用に供する場合は、その区域を定めて利用を禁止し、又は制限することができる。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（監督処分）</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知事は、次の各号のいずれかに該当する場合は、第五条第一項の許可を取り消し、若しくはその条件を変更し、又は行為の中止若しくは原状回復を命ずることができる。</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この条例の規定に違反したとき。</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第五条第四項の規定により許可に付せられた条件に違反したとき。</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偽りその他不正な手段により第五条第一項の許可を受けたとき。</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その行為が暴力団の利益になり、又はなるおそれがあると認められるとき。</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（使用料）</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第九条　第五条第一項の許可（同項第一号に掲げる行為に係るものを除く。）を受けた者は、別表に掲げる使用料を納付しなければならない。</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（徴収方法等）</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使用料は、使用を開始する日までにその全額を徴収する。ただし、知事は、特別の理由があると認めるときは、納付すべき期限を別に指定し、又は分割して納付させることができる。</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既納の使用料は、還付しない。ただし、知事は、特別の理由があると認めるときは、その全部又は一部を還付することができる。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（減免）</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第十一条　知事は、特別の理由があると認めるときは、使用料を減額し、又は免除することができる。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（規則への委任）</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第十二条　この条例に定めるもののほか、日本万博記念公園に関し必要な事項は、規則で定める。</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（過料）</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第十三条　次の各号のいずれかに該当する者は、五万円以下の過料に処する。</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第五条第一項の許可を受けないで同項各号のいずれかに掲げる行為をした者</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第五条第四項の規定により許可に付せられた条件に違反した者</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第六条の規定に違反して同条各号のいずれかに掲げる行為をした者</w:t>
      </w:r>
    </w:p>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第八条の規定による知事の命令に違反した者</w:t>
      </w:r>
    </w:p>
    <w:p w:rsidR="00BA3DA9" w:rsidRDefault="002B261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この条例の施行期日は、規則で定める。</w:t>
      </w:r>
    </w:p>
    <w:p w:rsidR="00BA3DA9" w:rsidRDefault="002B261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（第四条及び附則第四項の規定は平成二六年規則第六号で平成二六年二月五日から施行）</w:t>
      </w:r>
    </w:p>
    <w:p w:rsidR="00BA3DA9" w:rsidRDefault="002B261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（第四条及び附則第四項の規定以外の規定は平成二六年規則第一二号で平成二六年四月一日から施行）</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条例の施行前に独立行政法人日本万国博覧会記念機構法を廃止する法律附則第二条第一項の規定による解散前の独立行政法人日本万国博覧会記念機構（以下「機構」という。）がした万博公園に係る第五条第一項の許可に相当する行為は、同項の許可とみなす。</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項の規定により第五条第一項の許可（同項第一号に掲げる行為に係るものを除く。）とみなされる行為を受けた者は、第九条の規定にかかわらず、機構が定めた使用料に相当する額から機構に納付した額を控除した額を使用料として納付しなければならない。</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（大阪府附属機関条例の一部改正）</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大阪府附属機関条例（昭和二十七年大阪府条例第三十九号）の一部を次のように改正する。</w:t>
      </w:r>
    </w:p>
    <w:p w:rsidR="00BA3DA9" w:rsidRDefault="002B261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〔次のよう〕略</w:t>
      </w:r>
    </w:p>
    <w:p w:rsidR="00BA3DA9" w:rsidRDefault="002B261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（大阪府特別会計条例の一部改正）</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大阪府特別会計条例（昭和三十九年大阪府条例第三号）の一部を次のように改正する。</w:t>
      </w:r>
    </w:p>
    <w:p w:rsidR="00BA3DA9" w:rsidRDefault="002B261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〔次のよう〕略</w:t>
      </w:r>
    </w:p>
    <w:p w:rsidR="00BA3DA9" w:rsidRDefault="002B261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則（平成二六年条例第二五号）</w:t>
      </w:r>
    </w:p>
    <w:p w:rsidR="00BA3DA9" w:rsidRDefault="002B261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この条例は、平成二十六年四月一日から施行する。</w:t>
      </w:r>
    </w:p>
    <w:p w:rsidR="00BA3DA9" w:rsidRDefault="002B261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別表（第五条、第六条、第九条関係）</w:t>
      </w:r>
    </w:p>
    <w:p w:rsidR="00BA3DA9" w:rsidRDefault="002B261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（平二六条例二五・全改）</w:t>
      </w:r>
    </w:p>
    <w:tbl>
      <w:tblPr>
        <w:tblW w:w="0" w:type="auto"/>
        <w:tblInd w:w="5" w:type="dxa"/>
        <w:tblLayout w:type="fixed"/>
        <w:tblCellMar>
          <w:left w:w="0" w:type="dxa"/>
          <w:right w:w="0" w:type="dxa"/>
        </w:tblCellMar>
        <w:tblLook w:val="0000" w:firstRow="0" w:lastRow="0" w:firstColumn="0" w:lastColumn="0" w:noHBand="0" w:noVBand="0"/>
      </w:tblPr>
      <w:tblGrid>
        <w:gridCol w:w="963"/>
        <w:gridCol w:w="481"/>
        <w:gridCol w:w="385"/>
        <w:gridCol w:w="192"/>
        <w:gridCol w:w="192"/>
        <w:gridCol w:w="192"/>
        <w:gridCol w:w="192"/>
        <w:gridCol w:w="192"/>
        <w:gridCol w:w="289"/>
        <w:gridCol w:w="192"/>
        <w:gridCol w:w="289"/>
        <w:gridCol w:w="192"/>
        <w:gridCol w:w="192"/>
        <w:gridCol w:w="289"/>
        <w:gridCol w:w="481"/>
        <w:gridCol w:w="1734"/>
        <w:gridCol w:w="1734"/>
        <w:gridCol w:w="1445"/>
      </w:tblGrid>
      <w:tr w:rsidR="00BA3DA9">
        <w:tc>
          <w:tcPr>
            <w:tcW w:w="4713" w:type="dxa"/>
            <w:gridSpan w:val="15"/>
            <w:tcBorders>
              <w:top w:val="single" w:sz="4" w:space="0" w:color="000000"/>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1734" w:type="dxa"/>
            <w:tcBorders>
              <w:top w:val="single" w:sz="4" w:space="0" w:color="000000"/>
              <w:left w:val="nil"/>
              <w:bottom w:val="single" w:sz="4" w:space="0" w:color="000000"/>
              <w:right w:val="single" w:sz="4" w:space="0" w:color="000000"/>
            </w:tcBorders>
          </w:tcPr>
          <w:p w:rsidR="00BA3DA9" w:rsidRDefault="002B261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単位</w:t>
            </w:r>
          </w:p>
        </w:tc>
        <w:tc>
          <w:tcPr>
            <w:tcW w:w="3179" w:type="dxa"/>
            <w:gridSpan w:val="2"/>
            <w:tcBorders>
              <w:top w:val="single" w:sz="4" w:space="0" w:color="000000"/>
              <w:left w:val="nil"/>
              <w:bottom w:val="single" w:sz="4" w:space="0" w:color="000000"/>
              <w:right w:val="single" w:sz="4" w:space="0" w:color="000000"/>
            </w:tcBorders>
          </w:tcPr>
          <w:p w:rsidR="00BA3DA9" w:rsidRDefault="002B261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金額</w:t>
            </w: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日本庭園及び自然文化園</w:t>
            </w:r>
          </w:p>
        </w:tc>
        <w:tc>
          <w:tcPr>
            <w:tcW w:w="1442"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w:t>
            </w: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w:t>
            </w:r>
          </w:p>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一人一年間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一人一年間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団体</w:t>
            </w:r>
          </w:p>
        </w:tc>
        <w:tc>
          <w:tcPr>
            <w:tcW w:w="1346"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学校団体</w:t>
            </w: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6"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その他の団体</w:t>
            </w: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二〇人以上一九九人以下</w:t>
            </w: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二〇〇人以上</w:t>
            </w: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お祭り広場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961"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三一一、〇四〇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一五五、五二〇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一五五、五二〇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三八、八八〇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二五〇、五六〇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一二五、二八〇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一二五、二八〇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三一、三二〇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使用者がコンサートを開催する場合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一、〇三六、八〇〇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一二九、六〇〇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八二九、四四〇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四一四、七二〇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四一四、七二〇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一〇三、六八〇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二五九、二〇〇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二五九、二〇〇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六四、八〇〇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四一四、七二〇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二〇七、三六〇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二〇七、三六〇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上の広場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九九、三六〇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w:t>
            </w:r>
            <w:r>
              <w:rPr>
                <w:rFonts w:ascii="ＭＳ 明朝" w:eastAsia="ＭＳ 明朝" w:hAnsi="ＭＳ 明朝" w:cs="ＭＳ 明朝" w:hint="eastAsia"/>
                <w:color w:val="000000"/>
                <w:kern w:val="0"/>
                <w:szCs w:val="21"/>
              </w:rPr>
              <w:lastRenderedPageBreak/>
              <w:t>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四九、六八〇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四九、六八〇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七四、八〇〇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三七、四〇〇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三七、四〇〇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九、三五〇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一六六、二四〇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二〇、七八〇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一三三、〇四〇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六六、五二〇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六六、五二〇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一六、六三〇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下の広場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一〇三、六八〇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一二、九六〇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七七、七六〇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三八、八八〇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三八、八八〇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九、七二〇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一七二、八〇〇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八六、四〇〇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八六、四〇〇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一三八、二四〇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東の広場一号</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九四、五六〇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四七、二八〇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四七、二八〇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一一、八二〇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三五、四四〇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三五、四四〇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八、八六〇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一五七、六〇〇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七八、八〇〇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七八、八〇〇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一九、七〇〇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一二六、〇八〇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六三、〇四〇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六三、〇四〇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一五、七六〇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東の広場二号</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六九、九二〇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三四、九六〇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三四、九六〇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八、七四〇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五二、四八〇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二六、二四〇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二六、二四〇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一一六、六四〇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五八、三二〇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五八、三二〇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一四、五八〇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九三、二八〇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四六、六四〇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四六、六四〇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一一、六六〇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東の広場三号</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一〇六、二四〇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五三、一二〇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五三、一二〇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七九、六八〇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三九、八四〇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三九、八四〇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九、九六〇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一七七、一二〇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八八、五六〇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八八、五六〇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一四一、六八〇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w:t>
            </w:r>
            <w:r>
              <w:rPr>
                <w:rFonts w:ascii="ＭＳ 明朝" w:eastAsia="ＭＳ 明朝" w:hAnsi="ＭＳ 明朝" w:cs="ＭＳ 明朝" w:hint="eastAsia"/>
                <w:color w:val="000000"/>
                <w:kern w:val="0"/>
                <w:szCs w:val="21"/>
              </w:rPr>
              <w:lastRenderedPageBreak/>
              <w:t>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七〇、八四〇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一七、七一〇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東の広場四号</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一二八、二四〇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六四、一二〇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六四、一二〇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一六、〇三〇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九六、一六〇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四八、〇八〇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四八、〇八〇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一二、〇二〇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二一三、七六〇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一〇六、八八〇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一〇六、八八〇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二六、七二〇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一七一、〇四〇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八五、五二〇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八五、五二〇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二一、三八〇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東の広場五号</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八二、八八〇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四一、四四〇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四一、四四〇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一〇、三六〇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六二、一六〇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七、七七〇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使用者が入場料を</w:t>
            </w:r>
            <w:r>
              <w:rPr>
                <w:rFonts w:ascii="ＭＳ 明朝" w:eastAsia="ＭＳ 明朝" w:hAnsi="ＭＳ 明朝" w:cs="ＭＳ 明朝" w:hint="eastAsia"/>
                <w:color w:val="000000"/>
                <w:kern w:val="0"/>
                <w:szCs w:val="21"/>
              </w:rPr>
              <w:lastRenderedPageBreak/>
              <w:t>徴収する場合</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w:t>
            </w:r>
            <w:r>
              <w:rPr>
                <w:rFonts w:ascii="ＭＳ 明朝" w:eastAsia="ＭＳ 明朝" w:hAnsi="ＭＳ 明朝" w:cs="ＭＳ 明朝" w:hint="eastAsia"/>
                <w:color w:val="000000"/>
                <w:kern w:val="0"/>
                <w:szCs w:val="21"/>
              </w:rPr>
              <w:lastRenderedPageBreak/>
              <w:t>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一三八、二四〇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六九、一二〇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一三、八二〇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東の広場のうち東の広場一号から東の広場五号までの区域以外の区域</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一平方メートル一日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東の広場全域</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使用者がコンサートを開催する場合であって入場料を徴収しないとき</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七五三、二五〇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六〇、二六〇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五六四、八七〇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四五、一九〇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使用者がコンサートを開催する場合であって入場料を徴収するとき</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二、五一〇、八七〇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二〇〇、八七〇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二、〇〇八、七五〇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一六〇、七〇〇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お祭り広場、上の広場、下の広場及び東の広場の周辺の園路及び緑地</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一平方メートル一日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四二</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もみじ川芝生広場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使用者がコンサートを開催する場合であって入場料を徴収しないとき</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四六六、五六〇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三八、八八〇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w:t>
            </w:r>
            <w:r>
              <w:rPr>
                <w:rFonts w:ascii="ＭＳ 明朝" w:eastAsia="ＭＳ 明朝" w:hAnsi="ＭＳ 明朝" w:cs="ＭＳ 明朝" w:hint="eastAsia"/>
                <w:color w:val="000000"/>
                <w:kern w:val="0"/>
                <w:szCs w:val="21"/>
              </w:rPr>
              <w:lastRenderedPageBreak/>
              <w:t>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三四九、九二〇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二九、一六〇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使用者がコンサートを開催する場合であって入場料を徴収するとき</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一、五五五、二〇〇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一二九、六〇〇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一、二四四、一六〇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一〇三、六八〇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大地の池</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午前九時三〇分から午後五時まで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二五、九二〇</w:t>
            </w:r>
          </w:p>
        </w:tc>
        <w:tc>
          <w:tcPr>
            <w:tcW w:w="1445" w:type="dxa"/>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野球場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961"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アマチュアスポーツに使用する場合</w:t>
            </w: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一二、三四〇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午後五時以降に使用する場合　この表に掲げる金額に〇・八を乗じて得た額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二〇、五七〇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その他の場合</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更衣室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一室一回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二、五七〇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放送設備</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一式一試合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スコアボード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少年野球場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七、二〇〇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放送設備</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スポーツ広場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軟式野球場</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七、二〇〇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午後五時以降に使用する場合　この表に掲げる金額に〇・八を乗じて得た額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ソフトボール場</w:t>
            </w: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826"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更衣室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ロッカー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一箱一日一回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万博記念競技場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38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スポーツに使用する場合</w:t>
            </w:r>
          </w:p>
        </w:tc>
        <w:tc>
          <w:tcPr>
            <w:tcW w:w="576"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アマチュアスポーツに使用する場合</w:t>
            </w:r>
          </w:p>
        </w:tc>
        <w:tc>
          <w:tcPr>
            <w:tcW w:w="384"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陸上競技に使用する場合</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トラック又は雨天用走路を練習に使用する場合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競技に使用する場合</w:t>
            </w: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六九、四二〇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第五条第一項の許可を受けた者が入場料等を徴収する場合　この表に掲げる金額に三を乗じて得た額に入場料等の総額の</w:t>
            </w:r>
            <w:r>
              <w:rPr>
                <w:rFonts w:ascii="ＭＳ 明朝" w:eastAsia="ＭＳ 明朝" w:hAnsi="ＭＳ 明朝" w:cs="ＭＳ 明朝" w:hint="eastAsia"/>
                <w:color w:val="000000"/>
                <w:kern w:val="0"/>
                <w:szCs w:val="21"/>
              </w:rPr>
              <w:lastRenderedPageBreak/>
              <w:t>一〇パーセントに相当する額を加えた額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二七、七七〇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w:t>
            </w:r>
            <w:r>
              <w:rPr>
                <w:rFonts w:ascii="ＭＳ 明朝" w:eastAsia="ＭＳ 明朝" w:hAnsi="ＭＳ 明朝" w:cs="ＭＳ 明朝" w:hint="eastAsia"/>
                <w:color w:val="000000"/>
                <w:kern w:val="0"/>
                <w:szCs w:val="21"/>
              </w:rPr>
              <w:lastRenderedPageBreak/>
              <w:t>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五五、五三〇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八、七四〇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三四、七〇〇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一三、八八〇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二〇、八二〇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二七、七六〇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一六、七一〇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一三八、八五〇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五五、五四〇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二二、六二〇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一一一、〇七〇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四四、二二〇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六六、八五〇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陸上競技以外に使用する場</w:t>
            </w:r>
            <w:r>
              <w:rPr>
                <w:rFonts w:ascii="ＭＳ 明朝" w:eastAsia="ＭＳ 明朝" w:hAnsi="ＭＳ 明朝" w:cs="ＭＳ 明朝" w:hint="eastAsia"/>
                <w:color w:val="000000"/>
                <w:kern w:val="0"/>
                <w:szCs w:val="21"/>
              </w:rPr>
              <w:lastRenderedPageBreak/>
              <w:t>合</w:t>
            </w:r>
          </w:p>
        </w:tc>
        <w:tc>
          <w:tcPr>
            <w:tcW w:w="1443"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高校生</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一〇四、一三〇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六二、四八〇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一六、九七〇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w:t>
            </w:r>
            <w:r>
              <w:rPr>
                <w:rFonts w:ascii="ＭＳ 明朝" w:eastAsia="ＭＳ 明朝" w:hAnsi="ＭＳ 明朝" w:cs="ＭＳ 明朝" w:hint="eastAsia"/>
                <w:color w:val="000000"/>
                <w:kern w:val="0"/>
                <w:szCs w:val="21"/>
              </w:rPr>
              <w:lastRenderedPageBreak/>
              <w:t>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五〇、一四〇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五二、〇六〇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二〇、八二〇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三一、二四〇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一六、五八〇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二五、〇七〇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六、五五〇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二〇八、二八〇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一二四、九七〇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三三、九四〇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一六六、六二〇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六六、三四〇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二六、二二〇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884" w:type="dxa"/>
            <w:gridSpan w:val="1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その他の場合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四、一一四、二八〇</w:t>
            </w:r>
          </w:p>
        </w:tc>
        <w:tc>
          <w:tcPr>
            <w:tcW w:w="1445"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この表に掲げる金額には、前日に準備のため使用する場合の使用料を含む。</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スポーツ以外に使用</w:t>
            </w:r>
            <w:r>
              <w:rPr>
                <w:rFonts w:ascii="ＭＳ 明朝" w:eastAsia="ＭＳ 明朝" w:hAnsi="ＭＳ 明朝" w:cs="ＭＳ 明朝" w:hint="eastAsia"/>
                <w:color w:val="000000"/>
                <w:kern w:val="0"/>
                <w:szCs w:val="21"/>
              </w:rPr>
              <w:lastRenderedPageBreak/>
              <w:t>する場合</w:t>
            </w:r>
          </w:p>
        </w:tc>
        <w:tc>
          <w:tcPr>
            <w:tcW w:w="2403" w:type="dxa"/>
            <w:gridSpan w:val="11"/>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高校生</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一三八、八五〇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第五条第一項の許可を受けた者が入場料等を徴収する場合　この表に掲げる金額に三を乗じて得た額に入場料等の総額の</w:t>
            </w:r>
            <w:r>
              <w:rPr>
                <w:rFonts w:ascii="ＭＳ 明朝" w:eastAsia="ＭＳ 明朝" w:hAnsi="ＭＳ 明朝" w:cs="ＭＳ 明朝" w:hint="eastAsia"/>
                <w:color w:val="000000"/>
                <w:kern w:val="0"/>
                <w:szCs w:val="21"/>
              </w:rPr>
              <w:lastRenderedPageBreak/>
              <w:t>一〇パーセントに相当する額を加えた額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五五、五四〇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八三、三一〇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二二、六二〇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w:t>
            </w:r>
            <w:r>
              <w:rPr>
                <w:rFonts w:ascii="ＭＳ 明朝" w:eastAsia="ＭＳ 明朝" w:hAnsi="ＭＳ 明朝" w:cs="ＭＳ 明朝" w:hint="eastAsia"/>
                <w:color w:val="000000"/>
                <w:kern w:val="0"/>
                <w:szCs w:val="21"/>
              </w:rPr>
              <w:lastRenderedPageBreak/>
              <w:t>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一一一、〇七〇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四四、二二〇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六六、八五〇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二七、七七〇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五五、五三〇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八、七四〇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二七七、七〇〇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一一一、〇八〇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一六六、六二〇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四五、二五〇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二二二、一六〇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八八、四五〇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一三三、七一〇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403" w:type="dxa"/>
            <w:gridSpan w:val="11"/>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三四、九七〇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トレーニングルーム</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一三、七七〇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五、五五〇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会議室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五、七五〇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w:t>
            </w:r>
            <w:r>
              <w:rPr>
                <w:rFonts w:ascii="ＭＳ 明朝" w:eastAsia="ＭＳ 明朝" w:hAnsi="ＭＳ 明朝" w:cs="ＭＳ 明朝" w:hint="eastAsia"/>
                <w:color w:val="000000"/>
                <w:kern w:val="0"/>
                <w:szCs w:val="21"/>
              </w:rPr>
              <w:lastRenderedPageBreak/>
              <w:t>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三、四九〇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ロッカー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一箱一日一回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放送設備</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大型映像装置</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照明設備</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一八五、一四〇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写真判定装置</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競技用具</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高跳用具</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棒高跳用具</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棒高跳用ポール</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跳躍競技用バー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跳躍競技用支柱</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跳躍競技用高度計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跳躍競技用安全マット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一組</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走幅跳・三段跳用計測器</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走幅跳・三段跳用距離標識</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一組</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走幅跳・三段跳用踏切板標識</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一組</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ハードル</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一〇台</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三千メートル障害移動障害物</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四台</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砲丸</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円盤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ハンマー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やり</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投てき用ペグ</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四〇本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投てき角度標識</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一組</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腕章</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スターティングブロック</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一台</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ピストル</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一丁</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コースナンバー標識</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決勝柱</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一対</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バトン</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一本</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笛</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色旗</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一旗</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スタート係手旗</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三旗</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ストップウォッチ</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マラソン用親時計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周回表示器</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風向風速計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一組</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気圧計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温度・湿度計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巻尺</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はかり</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机</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五脚</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椅子</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一〇脚</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テント</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一張</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フットサルコート</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577"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会員使用</w:t>
            </w:r>
          </w:p>
        </w:tc>
        <w:tc>
          <w:tcPr>
            <w:tcW w:w="576"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一年目</w:t>
            </w:r>
          </w:p>
        </w:tc>
        <w:tc>
          <w:tcPr>
            <w:tcW w:w="481"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一回目</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一八、五一〇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一八、五一〇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二回目以降</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二年目以降</w:t>
            </w:r>
          </w:p>
        </w:tc>
        <w:tc>
          <w:tcPr>
            <w:tcW w:w="481"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一回目</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一四、四〇〇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二回目以降</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六、一七〇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4" w:type="dxa"/>
            <w:gridSpan w:val="7"/>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会員使用以外の使用</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ボール及びビブス</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ロッカー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一箱一日一回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テニスコート</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115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屋外コート</w:t>
            </w: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四、一一〇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三、三九〇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屋内コート</w:t>
            </w:r>
          </w:p>
        </w:tc>
        <w:tc>
          <w:tcPr>
            <w:tcW w:w="2116" w:type="dxa"/>
            <w:gridSpan w:val="8"/>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夜間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その他の時間</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屋外コート及び屋内コート</w:t>
            </w:r>
          </w:p>
        </w:tc>
        <w:tc>
          <w:tcPr>
            <w:tcW w:w="2116" w:type="dxa"/>
            <w:gridSpan w:val="8"/>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水曜日以外の日</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一人一面一年間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6" w:type="dxa"/>
            <w:gridSpan w:val="8"/>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休日等及び水曜日以外の日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八〇、二二〇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ロッカー</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一箱一日一回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大会本部棟</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弓道場</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一般使用</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五一〇</w:t>
            </w:r>
          </w:p>
        </w:tc>
        <w:tc>
          <w:tcPr>
            <w:tcW w:w="1445" w:type="dxa"/>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近的の射場又は遠的の射場</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八、〇二〇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射場の半分を使用する場合　この表に掲げる金額に〇・五を乗じて得た額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四、〇一〇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四、〇一〇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近的の射場</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午後五時から午後九時まで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八、〇二〇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近的の射場及び遠的の射場</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一三、一六〇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六、五八〇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2"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308" w:type="dxa"/>
            <w:gridSpan w:val="9"/>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六、五八〇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少年球技場</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六、八九〇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総合スポーツ広場（多目的使用の区域に限る。）</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一面二時間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五、一四〇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午後五時以降に使用する場合　この表に掲げる金額に〇・八を乗じて得た額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四、一一〇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運動場</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769"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057"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二九、一五〇</w:t>
            </w:r>
          </w:p>
        </w:tc>
        <w:tc>
          <w:tcPr>
            <w:tcW w:w="1445"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万博記念競技場を同日に使用する場合　この表に掲げる金額に〇・五を乗じて得た額</w:t>
            </w: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一一、六七〇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一七、四八〇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四、五七〇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二三、二八〇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九、三〇〇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一三、九八〇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一四、五七〇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五、八三〇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八、七四〇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一一、六四〇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六、九九〇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w:t>
            </w:r>
            <w:r>
              <w:rPr>
                <w:rFonts w:ascii="ＭＳ 明朝" w:eastAsia="ＭＳ 明朝" w:hAnsi="ＭＳ 明朝" w:cs="ＭＳ 明朝" w:hint="eastAsia"/>
                <w:color w:val="000000"/>
                <w:kern w:val="0"/>
                <w:szCs w:val="21"/>
              </w:rPr>
              <w:lastRenderedPageBreak/>
              <w:t>者</w:t>
            </w: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w:t>
            </w:r>
            <w:r>
              <w:rPr>
                <w:rFonts w:ascii="ＭＳ 明朝" w:eastAsia="ＭＳ 明朝" w:hAnsi="ＭＳ 明朝" w:cs="ＭＳ 明朝" w:hint="eastAsia"/>
                <w:color w:val="000000"/>
                <w:kern w:val="0"/>
                <w:szCs w:val="21"/>
              </w:rPr>
              <w:lastRenderedPageBreak/>
              <w:t>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五八、三一〇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二三、三四〇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三四、九七〇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九、一五〇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四六、五八〇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一八、六一〇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二七、九七〇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七、三〇〇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769" w:type="dxa"/>
            <w:gridSpan w:val="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一般使用</w:t>
            </w:r>
          </w:p>
        </w:tc>
        <w:tc>
          <w:tcPr>
            <w:tcW w:w="2500" w:type="dxa"/>
            <w:gridSpan w:val="10"/>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グラウンドゴルフ</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五一〇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放送設備</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一式一時間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一、一三〇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小運動場</w:t>
            </w:r>
          </w:p>
        </w:tc>
        <w:tc>
          <w:tcPr>
            <w:tcW w:w="3750" w:type="dxa"/>
            <w:gridSpan w:val="1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二七、五六〇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一三、七八〇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一三、七八〇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四、三二〇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二〇、五六〇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午前九時から午後一時まで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三、一八〇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パビリオン</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一般使用</w:t>
            </w:r>
          </w:p>
        </w:tc>
        <w:tc>
          <w:tcPr>
            <w:tcW w:w="3269" w:type="dxa"/>
            <w:gridSpan w:val="13"/>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団体</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二〇人以上一九九人以下</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二〇〇人以上</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大人一人一回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多目的広間</w:t>
            </w:r>
          </w:p>
        </w:tc>
        <w:tc>
          <w:tcPr>
            <w:tcW w:w="1924" w:type="dxa"/>
            <w:gridSpan w:val="7"/>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一〇八、〇〇〇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午前一〇時から午後一時まで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五四、〇〇〇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五四、〇〇〇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一三、五〇〇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九七、二〇〇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午前一〇時から午</w:t>
            </w:r>
            <w:r>
              <w:rPr>
                <w:rFonts w:ascii="ＭＳ 明朝" w:eastAsia="ＭＳ 明朝" w:hAnsi="ＭＳ 明朝" w:cs="ＭＳ 明朝" w:hint="eastAsia"/>
                <w:color w:val="000000"/>
                <w:kern w:val="0"/>
                <w:szCs w:val="21"/>
              </w:rPr>
              <w:lastRenderedPageBreak/>
              <w:t>後一時まで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四八、六〇〇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午後一時から午後五時まで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四八、六〇〇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超過一時間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大阪日本民芸館</w:t>
            </w: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通常の場合</w:t>
            </w: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高校生又は大学生</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三五〇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団体（二〇人以上）</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高校生又は大学生</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特別の企画に基づく展示を行う場合</w:t>
            </w: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高校生又は大学生</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団体（二〇人以上）</w:t>
            </w: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高校生又は大学生</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一人一回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小人</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34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924" w:type="dxa"/>
            <w:gridSpan w:val="7"/>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その他の者</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自然観察学習館</w:t>
            </w:r>
          </w:p>
        </w:tc>
        <w:tc>
          <w:tcPr>
            <w:tcW w:w="1058"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本体設備</w:t>
            </w:r>
          </w:p>
        </w:tc>
        <w:tc>
          <w:tcPr>
            <w:tcW w:w="1057" w:type="dxa"/>
            <w:gridSpan w:val="5"/>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63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実習室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五、四〇〇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8"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午後一時三〇分から午後三時三〇分まで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8"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森の教室</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午前一〇時から正午まで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8"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7" w:type="dxa"/>
            <w:gridSpan w:val="5"/>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午後一時三〇分から午後三時三〇分まで</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二、七〇〇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8" w:type="dxa"/>
            <w:gridSpan w:val="3"/>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附帯設備</w:t>
            </w:r>
          </w:p>
        </w:tc>
        <w:tc>
          <w:tcPr>
            <w:tcW w:w="2692" w:type="dxa"/>
            <w:gridSpan w:val="11"/>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つりパネル</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一五日間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058" w:type="dxa"/>
            <w:gridSpan w:val="3"/>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692" w:type="dxa"/>
            <w:gridSpan w:val="11"/>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可動パネル</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一六、二〇〇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茶室汎庵</w:t>
            </w:r>
          </w:p>
        </w:tc>
        <w:tc>
          <w:tcPr>
            <w:tcW w:w="2115"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一二、九六〇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5"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茶室万里庵</w:t>
            </w:r>
          </w:p>
        </w:tc>
        <w:tc>
          <w:tcPr>
            <w:tcW w:w="2115"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二時間</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一二、九六〇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5"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駐車場</w:t>
            </w:r>
          </w:p>
        </w:tc>
        <w:tc>
          <w:tcPr>
            <w:tcW w:w="2115"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大型車</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一台一日一回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二、六七〇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5"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一、七四〇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5" w:type="dxa"/>
            <w:gridSpan w:val="8"/>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マイクロバス</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一、八五〇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2115" w:type="dxa"/>
            <w:gridSpan w:val="8"/>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一、二三〇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二輪車</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250"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その他のもの</w:t>
            </w: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一般使用</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250"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250"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専用使用</w:t>
            </w: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休日等</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一〇〇台一日一回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一二三、四二〇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250"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1635" w:type="dxa"/>
            <w:gridSpan w:val="6"/>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その他の日</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八二、二八〇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万博公園ロッカー</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大型</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一箱一日一回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中型</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小型</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val="restart"/>
            <w:tcBorders>
              <w:top w:val="nil"/>
              <w:left w:val="single" w:sz="4" w:space="0" w:color="000000"/>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第五条第一項第二号のロケーション又は写真撮影</w:t>
            </w: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ロケーション</w:t>
            </w:r>
          </w:p>
        </w:tc>
        <w:tc>
          <w:tcPr>
            <w:tcW w:w="1734" w:type="dxa"/>
            <w:vMerge w:val="restart"/>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一日一回</w:t>
            </w: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六四、八〇〇</w:t>
            </w:r>
          </w:p>
        </w:tc>
        <w:tc>
          <w:tcPr>
            <w:tcW w:w="1445" w:type="dxa"/>
            <w:vMerge w:val="restart"/>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r w:rsidR="00BA3DA9">
        <w:tc>
          <w:tcPr>
            <w:tcW w:w="963" w:type="dxa"/>
            <w:vMerge/>
            <w:tcBorders>
              <w:top w:val="nil"/>
              <w:left w:val="single" w:sz="4" w:space="0" w:color="000000"/>
              <w:bottom w:val="single" w:sz="4" w:space="0" w:color="000000"/>
              <w:right w:val="single" w:sz="4" w:space="0" w:color="000000"/>
            </w:tcBorders>
          </w:tcPr>
          <w:p w:rsidR="00BA3DA9" w:rsidRDefault="00BA3DA9">
            <w:pPr>
              <w:autoSpaceDE w:val="0"/>
              <w:autoSpaceDN w:val="0"/>
              <w:adjustRightInd w:val="0"/>
              <w:jc w:val="left"/>
              <w:rPr>
                <w:rFonts w:ascii="Arial" w:hAnsi="Arial" w:cs="Arial"/>
                <w:kern w:val="0"/>
                <w:sz w:val="24"/>
                <w:szCs w:val="24"/>
              </w:rPr>
            </w:pPr>
          </w:p>
        </w:tc>
        <w:tc>
          <w:tcPr>
            <w:tcW w:w="3750" w:type="dxa"/>
            <w:gridSpan w:val="14"/>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業としての写真撮影</w:t>
            </w:r>
          </w:p>
        </w:tc>
        <w:tc>
          <w:tcPr>
            <w:tcW w:w="1734"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c>
          <w:tcPr>
            <w:tcW w:w="1734" w:type="dxa"/>
            <w:tcBorders>
              <w:top w:val="nil"/>
              <w:left w:val="nil"/>
              <w:bottom w:val="single" w:sz="4" w:space="0" w:color="000000"/>
              <w:right w:val="single" w:sz="4" w:space="0" w:color="000000"/>
            </w:tcBorders>
          </w:tcPr>
          <w:p w:rsidR="00BA3DA9" w:rsidRDefault="002B261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三二、四〇〇</w:t>
            </w:r>
          </w:p>
        </w:tc>
        <w:tc>
          <w:tcPr>
            <w:tcW w:w="1445" w:type="dxa"/>
            <w:vMerge/>
            <w:tcBorders>
              <w:top w:val="nil"/>
              <w:left w:val="nil"/>
              <w:bottom w:val="single" w:sz="4" w:space="0" w:color="000000"/>
              <w:right w:val="single" w:sz="4" w:space="0" w:color="000000"/>
            </w:tcBorders>
          </w:tcPr>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p>
        </w:tc>
      </w:tr>
    </w:tbl>
    <w:p w:rsidR="00BA3DA9" w:rsidRDefault="002B261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期間の計算については、単位期間に満たない端数は、当該単位期間とする。</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使用の面積が一平方メートル未満であるとき、又はこの面積に一平方メートル未満の端数があるときは、一平方メートルとして計算する。</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一件の使用料の額に一円未満の端数があるときは、これを切り上げた額とする。</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個数等の計算については、単位個数に満たない端数は、当該単位個数とする。</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「休日等」とは土曜日、日曜日又は国民の祝日に関する法律（昭和二十三年法律第百七十八号）に規定する休日をいう。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「大人」とは、乳幼児及び小人以外の者をいう。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　「小人」とは、小学生、中学生及びこれらに準ずる者をいう。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　「大学生」とは、大学生及びこれに準ずる者をいう。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　「高校生」とは、高校生及びこれに準ずる者をいう。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 xml:space="preserve">　「その他の者」には、乳幼児を含まないものとする。</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11</w:t>
      </w:r>
      <w:r>
        <w:rPr>
          <w:rFonts w:ascii="ＭＳ 明朝" w:eastAsia="ＭＳ 明朝" w:hAnsi="ＭＳ 明朝" w:cs="ＭＳ 明朝" w:hint="eastAsia"/>
          <w:color w:val="000000"/>
          <w:kern w:val="0"/>
          <w:szCs w:val="21"/>
        </w:rPr>
        <w:t xml:space="preserve">　「学校団体」とは、学校行事として又は引率者が同行して使用する小学生若しくは中学生、高校生又はこれらに準ずる者により構成される二十人以上の団体をいう。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 xml:space="preserve">　「コンサート」とは、第五条第一項の許可を受けた者が、音量の増幅回路を用いて、専ら音楽演奏等を参加者に聴かせることを目的として行う催しをいう。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13</w:t>
      </w:r>
      <w:r>
        <w:rPr>
          <w:rFonts w:ascii="ＭＳ 明朝" w:eastAsia="ＭＳ 明朝" w:hAnsi="ＭＳ 明朝" w:cs="ＭＳ 明朝" w:hint="eastAsia"/>
          <w:color w:val="000000"/>
          <w:kern w:val="0"/>
          <w:szCs w:val="21"/>
        </w:rPr>
        <w:t xml:space="preserve">　「競技用具」とは、高跳用具、棒高跳用具、跳躍競技用高度計、走幅跳・三段跳用計測器、走幅跳・三段跳用距離標識、走幅跳・三段跳用踏切板標識、ハードル、三千メートル障害移動障害物、砲丸、円盤、ハンマー、やり、投てき用ペグ、投てき角度標識、腕章、スターティングブロック、ピストル、コースナンバー標識、決勝柱、バトン、笛、色旗、スタート係手旗、ストップウォッチ、マラソン用親時計、周回表示器、風向風速計、気圧計、温度・湿度計、巻尺、はかり、机及び椅子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 xml:space="preserve">　「高跳用具」とは、跳躍競技用バー、跳躍競技用支柱及び跳躍競技用安全マットをいう。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w:t>
      </w:r>
      <w:r>
        <w:rPr>
          <w:rFonts w:ascii="ＭＳ 明朝" w:eastAsia="ＭＳ 明朝" w:hAnsi="ＭＳ 明朝" w:cs="ＭＳ 明朝" w:hint="eastAsia"/>
          <w:color w:val="000000"/>
          <w:kern w:val="0"/>
          <w:szCs w:val="21"/>
        </w:rPr>
        <w:t xml:space="preserve">　「棒高跳用具」とは、棒高跳用ポール、跳躍競技用バー、跳躍競技用支柱、跳躍競技用安全マット、設置金具及び支柱運搬車をいう。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16</w:t>
      </w:r>
      <w:r>
        <w:rPr>
          <w:rFonts w:ascii="ＭＳ 明朝" w:eastAsia="ＭＳ 明朝" w:hAnsi="ＭＳ 明朝" w:cs="ＭＳ 明朝" w:hint="eastAsia"/>
          <w:color w:val="000000"/>
          <w:kern w:val="0"/>
          <w:szCs w:val="21"/>
        </w:rPr>
        <w:t xml:space="preserve">　「会員使用」とは、会員使用の項に掲げる使用料を納付してフットサルコートを使用することをいう。ただし、一年間、会員使用に係るフットサルコートの使用料の納付がない者については、会員使用の項（一年目の一回目に係る部分に限る。）又は会員使用以外の使用の項に掲げる使用料を納付しなければならない。</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 xml:space="preserve">　「夜間」とは、四月から九月までにあっては午後六時から午後十時までを、十月から翌年三月までにあっては午後五時から午後十時までをいう。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 xml:space="preserve">　「大型車」とは道路運送車両法（昭和二十六年法律第百八十五号）第三条に規定する普通自動車（以下「普通車」という。）のうち乗車定員三十人以上のもの、総重量八トン以上のもの又は荷物、物品等の積載量が五トン以上のもの及び同条に規定する大型特殊自動車を、「マイクロバス」とは普通車のうち乗車定員十一人以上二十九人以下のもので「大型車」を除くものを、「二輪車」とは道路運送車両法施行規則（昭和二十六年運輸省令第七十四号）別表第一に規定する二輪自動車をいう。</w:t>
      </w:r>
    </w:p>
    <w:p w:rsidR="00BA3DA9" w:rsidRDefault="002B261A">
      <w:pPr>
        <w:autoSpaceDE w:val="0"/>
        <w:autoSpaceDN w:val="0"/>
        <w:adjustRightInd w:val="0"/>
        <w:spacing w:line="30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19</w:t>
      </w:r>
      <w:r>
        <w:rPr>
          <w:rFonts w:ascii="ＭＳ 明朝" w:eastAsia="ＭＳ 明朝" w:hAnsi="ＭＳ 明朝" w:cs="ＭＳ 明朝" w:hint="eastAsia"/>
          <w:color w:val="000000"/>
          <w:kern w:val="0"/>
          <w:szCs w:val="21"/>
        </w:rPr>
        <w:t xml:space="preserve">　被けん引自動車は、一の自動車とする。</w:t>
      </w:r>
    </w:p>
    <w:p w:rsidR="00BA3DA9" w:rsidRDefault="00BA3DA9">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BA3DA9">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1A"/>
    <w:rsid w:val="002B261A"/>
    <w:rsid w:val="00BA3DA9"/>
    <w:rsid w:val="00C0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1B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1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12785</Words>
  <Characters>3854</Characters>
  <Application>Microsoft Office Word</Application>
  <DocSecurity>0</DocSecurity>
  <Lines>32</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3</cp:revision>
  <dcterms:created xsi:type="dcterms:W3CDTF">2014-07-02T09:00:00Z</dcterms:created>
  <dcterms:modified xsi:type="dcterms:W3CDTF">2014-07-02T10:10:00Z</dcterms:modified>
</cp:coreProperties>
</file>