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556" w:rsidRDefault="007B3340" w:rsidP="00A2140C">
      <w:pPr>
        <w:jc w:val="center"/>
        <w:rPr>
          <w:sz w:val="28"/>
          <w:szCs w:val="28"/>
        </w:rPr>
      </w:pPr>
      <w:r w:rsidRPr="007B3340">
        <w:rPr>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5487035</wp:posOffset>
                </wp:positionH>
                <wp:positionV relativeFrom="paragraph">
                  <wp:posOffset>-324485</wp:posOffset>
                </wp:positionV>
                <wp:extent cx="931653" cy="482864"/>
                <wp:effectExtent l="0" t="0" r="2095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653" cy="482864"/>
                        </a:xfrm>
                        <a:prstGeom prst="rect">
                          <a:avLst/>
                        </a:prstGeom>
                        <a:solidFill>
                          <a:srgbClr val="FFFFFF"/>
                        </a:solidFill>
                        <a:ln w="9525">
                          <a:solidFill>
                            <a:srgbClr val="000000"/>
                          </a:solidFill>
                          <a:miter lim="800000"/>
                          <a:headEnd/>
                          <a:tailEnd/>
                        </a:ln>
                      </wps:spPr>
                      <wps:txbx>
                        <w:txbxContent>
                          <w:p w:rsidR="007B3340" w:rsidRPr="007B3340" w:rsidRDefault="007B3340">
                            <w:pPr>
                              <w:rPr>
                                <w:sz w:val="28"/>
                                <w:szCs w:val="28"/>
                              </w:rPr>
                            </w:pPr>
                            <w:r w:rsidRPr="007B3340">
                              <w:rPr>
                                <w:rFonts w:hint="eastAsia"/>
                                <w:sz w:val="28"/>
                                <w:szCs w:val="28"/>
                              </w:rPr>
                              <w:t>参考資料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2.05pt;margin-top:-25.55pt;width:73.35pt;height: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">
                <v:textbox>
                  <w:txbxContent>
                    <w:p w:rsidR="007B3340" w:rsidRPr="007B3340" w:rsidRDefault="007B3340">
                      <w:pPr>
                        <w:rPr>
                          <w:sz w:val="28"/>
                          <w:szCs w:val="28"/>
                        </w:rPr>
                      </w:pPr>
                      <w:r w:rsidRPr="007B3340">
                        <w:rPr>
                          <w:rFonts w:hint="eastAsia"/>
                          <w:sz w:val="28"/>
                          <w:szCs w:val="28"/>
                        </w:rPr>
                        <w:t>参考資料</w:t>
                      </w:r>
                    </w:p>
                  </w:txbxContent>
                </v:textbox>
              </v:shape>
            </w:pict>
          </mc:Fallback>
        </mc:AlternateContent>
      </w:r>
      <w:r w:rsidR="00A152E4" w:rsidRPr="00EC0556">
        <w:rPr>
          <w:rFonts w:hint="eastAsia"/>
          <w:sz w:val="28"/>
          <w:szCs w:val="28"/>
        </w:rPr>
        <w:t>大阪府中央卸売市場経営展望</w:t>
      </w:r>
      <w:r w:rsidR="00D16E94">
        <w:rPr>
          <w:rFonts w:hint="eastAsia"/>
          <w:sz w:val="28"/>
          <w:szCs w:val="28"/>
        </w:rPr>
        <w:t>による</w:t>
      </w:r>
      <w:r w:rsidR="00EC0556" w:rsidRPr="00EC0556">
        <w:rPr>
          <w:rFonts w:hint="eastAsia"/>
          <w:sz w:val="28"/>
          <w:szCs w:val="28"/>
        </w:rPr>
        <w:t>取組み成果</w:t>
      </w:r>
      <w:r w:rsidR="00E923D8">
        <w:rPr>
          <w:rFonts w:hint="eastAsia"/>
          <w:sz w:val="28"/>
          <w:szCs w:val="28"/>
        </w:rPr>
        <w:t>等の要約版</w:t>
      </w:r>
    </w:p>
    <w:p w:rsidR="00A2140C" w:rsidRPr="00A2140C" w:rsidRDefault="00A2140C" w:rsidP="00A2140C">
      <w:pPr>
        <w:rPr>
          <w:sz w:val="16"/>
          <w:szCs w:val="16"/>
        </w:rPr>
      </w:pPr>
    </w:p>
    <w:p w:rsidR="00F95AA4" w:rsidRPr="00A2140C" w:rsidRDefault="00EC0556" w:rsidP="00A2140C">
      <w:pPr>
        <w:rPr>
          <w:b/>
          <w:u w:val="single"/>
        </w:rPr>
      </w:pPr>
      <w:r w:rsidRPr="00EC0556">
        <w:rPr>
          <w:rFonts w:hint="eastAsia"/>
          <w:b/>
          <w:u w:val="single"/>
        </w:rPr>
        <w:t>１．</w:t>
      </w:r>
      <w:r w:rsidR="00A152E4" w:rsidRPr="00EC0556">
        <w:rPr>
          <w:rFonts w:hint="eastAsia"/>
          <w:b/>
          <w:u w:val="single"/>
        </w:rPr>
        <w:t>基本戦略に基づく行動計画に関する評価</w:t>
      </w:r>
    </w:p>
    <w:p w:rsidR="00A2140C" w:rsidRDefault="00F95AA4" w:rsidP="00A2140C">
      <w:pPr>
        <w:ind w:left="284" w:firstLineChars="64" w:firstLine="134"/>
      </w:pPr>
      <w:r w:rsidRPr="00F95AA4">
        <w:t>基本戦略に基づく行動計画</w:t>
      </w:r>
      <w:r>
        <w:rPr>
          <w:rFonts w:hint="eastAsia"/>
        </w:rPr>
        <w:t>に基づく</w:t>
      </w:r>
      <w:r w:rsidR="00542FF2">
        <w:rPr>
          <w:rFonts w:hint="eastAsia"/>
        </w:rPr>
        <w:t>取組み項目のうち、</w:t>
      </w:r>
      <w:r w:rsidR="00084EA1">
        <w:rPr>
          <w:rFonts w:hint="eastAsia"/>
        </w:rPr>
        <w:t>前回評価から</w:t>
      </w:r>
      <w:r w:rsidR="0008715E">
        <w:rPr>
          <w:rFonts w:hint="eastAsia"/>
        </w:rPr>
        <w:t>評価を</w:t>
      </w:r>
      <w:r w:rsidR="00084EA1">
        <w:rPr>
          <w:rFonts w:hint="eastAsia"/>
        </w:rPr>
        <w:t>変更した項目は</w:t>
      </w:r>
      <w:r w:rsidR="00A2140C">
        <w:rPr>
          <w:rFonts w:hint="eastAsia"/>
        </w:rPr>
        <w:t xml:space="preserve">　　　下記</w:t>
      </w:r>
      <w:r w:rsidR="00084EA1">
        <w:rPr>
          <w:rFonts w:hint="eastAsia"/>
        </w:rPr>
        <w:t>のとおりです。</w:t>
      </w:r>
      <w:r w:rsidR="00A2140C">
        <w:rPr>
          <w:rFonts w:hint="eastAsia"/>
        </w:rPr>
        <w:t>また、同計画の34項目のうち29項目（85.3%</w:t>
      </w:r>
      <w:r w:rsidR="00A2140C">
        <w:t>）</w:t>
      </w:r>
      <w:r w:rsidR="00A2140C">
        <w:rPr>
          <w:rFonts w:hint="eastAsia"/>
        </w:rPr>
        <w:t>において、一定の成果を上げて　　いると評価しました。</w:t>
      </w:r>
    </w:p>
    <w:p w:rsidR="0008715E" w:rsidRPr="00A2140C" w:rsidRDefault="0008715E" w:rsidP="00A2140C">
      <w:pPr>
        <w:spacing w:line="260" w:lineRule="exact"/>
        <w:ind w:left="284" w:firstLineChars="64" w:firstLine="134"/>
      </w:pPr>
    </w:p>
    <w:p w:rsidR="0008715E" w:rsidRDefault="0008715E" w:rsidP="00084EA1">
      <w:pPr>
        <w:ind w:left="420"/>
      </w:pPr>
      <w:r>
        <w:rPr>
          <w:rFonts w:hint="eastAsia"/>
        </w:rPr>
        <w:t>【前回から評価を変更した項目】</w:t>
      </w:r>
    </w:p>
    <w:tbl>
      <w:tblPr>
        <w:tblStyle w:val="a4"/>
        <w:tblW w:w="9214" w:type="dxa"/>
        <w:tblInd w:w="562" w:type="dxa"/>
        <w:tblLook w:val="04A0" w:firstRow="1" w:lastRow="0" w:firstColumn="1" w:lastColumn="0" w:noHBand="0" w:noVBand="1"/>
      </w:tblPr>
      <w:tblGrid>
        <w:gridCol w:w="1774"/>
        <w:gridCol w:w="3755"/>
        <w:gridCol w:w="1134"/>
        <w:gridCol w:w="1134"/>
        <w:gridCol w:w="1417"/>
      </w:tblGrid>
      <w:tr w:rsidR="009E6FA3" w:rsidTr="009E6FA3">
        <w:tc>
          <w:tcPr>
            <w:tcW w:w="5529" w:type="dxa"/>
            <w:gridSpan w:val="2"/>
            <w:shd w:val="clear" w:color="auto" w:fill="E7E6E6" w:themeFill="background2"/>
          </w:tcPr>
          <w:p w:rsidR="009E6FA3" w:rsidRDefault="009E6FA3" w:rsidP="00084EA1">
            <w:r w:rsidRPr="00D40768">
              <w:rPr>
                <w:rFonts w:hint="eastAsia"/>
              </w:rPr>
              <w:t>１　流通の変化に対応した「機動性」のある市場</w:t>
            </w:r>
          </w:p>
        </w:tc>
        <w:tc>
          <w:tcPr>
            <w:tcW w:w="1134" w:type="dxa"/>
            <w:shd w:val="clear" w:color="auto" w:fill="E7E6E6" w:themeFill="background2"/>
          </w:tcPr>
          <w:p w:rsidR="009E6FA3" w:rsidRDefault="009E6FA3" w:rsidP="00084EA1">
            <w:r>
              <w:rPr>
                <w:rFonts w:hint="eastAsia"/>
              </w:rPr>
              <w:t>前回評価</w:t>
            </w:r>
          </w:p>
        </w:tc>
        <w:tc>
          <w:tcPr>
            <w:tcW w:w="1134" w:type="dxa"/>
            <w:shd w:val="clear" w:color="auto" w:fill="E7E6E6" w:themeFill="background2"/>
          </w:tcPr>
          <w:p w:rsidR="009E6FA3" w:rsidRDefault="009E6FA3" w:rsidP="00084EA1">
            <w:r>
              <w:rPr>
                <w:rFonts w:hint="eastAsia"/>
              </w:rPr>
              <w:t>今回評価</w:t>
            </w:r>
          </w:p>
        </w:tc>
        <w:tc>
          <w:tcPr>
            <w:tcW w:w="1417" w:type="dxa"/>
            <w:shd w:val="clear" w:color="auto" w:fill="E7E6E6" w:themeFill="background2"/>
          </w:tcPr>
          <w:p w:rsidR="009E6FA3" w:rsidRDefault="005C2E49" w:rsidP="005C2E49">
            <w:pPr>
              <w:jc w:val="center"/>
            </w:pPr>
            <w:r>
              <w:rPr>
                <w:rFonts w:hint="eastAsia"/>
              </w:rPr>
              <w:t>掲載箇所</w:t>
            </w:r>
          </w:p>
        </w:tc>
      </w:tr>
      <w:tr w:rsidR="005C2E49" w:rsidTr="00EE6890">
        <w:tc>
          <w:tcPr>
            <w:tcW w:w="1774" w:type="dxa"/>
          </w:tcPr>
          <w:p w:rsidR="005C2E49" w:rsidRDefault="005C2E49" w:rsidP="005C2E49">
            <w:pPr>
              <w:spacing w:line="300" w:lineRule="exact"/>
            </w:pPr>
            <w:r>
              <w:t>(1</w:t>
            </w:r>
            <w:r>
              <w:rPr>
                <w:rFonts w:hint="eastAsia"/>
              </w:rPr>
              <w:t>)</w:t>
            </w:r>
            <w:r w:rsidRPr="00D40768">
              <w:t>荷捌き・積み込みスペースの充実</w:t>
            </w:r>
          </w:p>
        </w:tc>
        <w:tc>
          <w:tcPr>
            <w:tcW w:w="3755" w:type="dxa"/>
          </w:tcPr>
          <w:p w:rsidR="005C2E49" w:rsidRDefault="005C2E49" w:rsidP="005C2E49">
            <w:pPr>
              <w:spacing w:line="300" w:lineRule="exact"/>
            </w:pPr>
            <w:r w:rsidRPr="00D40768">
              <w:rPr>
                <w:rFonts w:hint="eastAsia"/>
              </w:rPr>
              <w:t>②立体駐車場周りでの荷卸し作業や雨天対策のための屋根付き専用スペース、簡易屋根・ひさしの設置検討</w:t>
            </w:r>
          </w:p>
        </w:tc>
        <w:tc>
          <w:tcPr>
            <w:tcW w:w="1134" w:type="dxa"/>
            <w:vAlign w:val="center"/>
          </w:tcPr>
          <w:p w:rsidR="005C2E49" w:rsidRDefault="005C2E49" w:rsidP="005C2E49">
            <w:pPr>
              <w:jc w:val="center"/>
            </w:pPr>
            <w:r>
              <w:rPr>
                <w:rFonts w:hint="eastAsia"/>
              </w:rPr>
              <w:t>△</w:t>
            </w:r>
          </w:p>
        </w:tc>
        <w:tc>
          <w:tcPr>
            <w:tcW w:w="1134" w:type="dxa"/>
            <w:vAlign w:val="center"/>
          </w:tcPr>
          <w:p w:rsidR="005C2E49" w:rsidRDefault="005C2E49" w:rsidP="005C2E49">
            <w:pPr>
              <w:jc w:val="center"/>
            </w:pPr>
            <w:r>
              <w:rPr>
                <w:rFonts w:hint="eastAsia"/>
              </w:rPr>
              <w:t>○</w:t>
            </w:r>
          </w:p>
        </w:tc>
        <w:tc>
          <w:tcPr>
            <w:tcW w:w="1417" w:type="dxa"/>
          </w:tcPr>
          <w:p w:rsidR="005C2E49" w:rsidRDefault="005C2E49" w:rsidP="005C2E49">
            <w:pPr>
              <w:spacing w:line="300" w:lineRule="exact"/>
            </w:pPr>
            <w:r>
              <w:rPr>
                <w:rFonts w:hint="eastAsia"/>
              </w:rPr>
              <w:t>資料１</w:t>
            </w:r>
            <w:r>
              <w:t>(1頁)</w:t>
            </w:r>
          </w:p>
          <w:p w:rsidR="005C2E49" w:rsidRDefault="005C2E49" w:rsidP="005C2E49">
            <w:pPr>
              <w:spacing w:line="300" w:lineRule="exact"/>
              <w:jc w:val="center"/>
            </w:pPr>
            <w:r>
              <w:rPr>
                <w:rFonts w:hint="eastAsia"/>
              </w:rPr>
              <w:t>及び</w:t>
            </w:r>
          </w:p>
          <w:p w:rsidR="005C2E49" w:rsidRDefault="005C2E49" w:rsidP="005C2E49">
            <w:pPr>
              <w:spacing w:line="300" w:lineRule="exact"/>
            </w:pPr>
            <w:r>
              <w:rPr>
                <w:rFonts w:hint="eastAsia"/>
              </w:rPr>
              <w:t>資料</w:t>
            </w:r>
            <w:r>
              <w:t>2 (1頁)</w:t>
            </w:r>
          </w:p>
        </w:tc>
      </w:tr>
    </w:tbl>
    <w:p w:rsidR="00D73FCF" w:rsidRDefault="00D73FCF" w:rsidP="00A2140C">
      <w:pPr>
        <w:spacing w:line="300" w:lineRule="exact"/>
        <w:ind w:leftChars="267" w:left="1559" w:rightChars="66" w:right="139" w:hangingChars="475" w:hanging="998"/>
      </w:pPr>
      <w:r>
        <w:rPr>
          <w:rFonts w:hint="eastAsia"/>
        </w:rPr>
        <w:t xml:space="preserve">　（理由）青果（近郊売場）の駐車場一部にテント設置工事（658㎡）及び照明設備を設置し、荷捌き・積み込みスペースが増加</w:t>
      </w:r>
      <w:r w:rsidR="0032472A">
        <w:rPr>
          <w:rFonts w:hint="eastAsia"/>
        </w:rPr>
        <w:t>したことや</w:t>
      </w:r>
      <w:r>
        <w:rPr>
          <w:rFonts w:hint="eastAsia"/>
        </w:rPr>
        <w:t>近郊売場駐車場内のスペースの整理を</w:t>
      </w:r>
      <w:r w:rsidR="00A2140C">
        <w:rPr>
          <w:rFonts w:hint="eastAsia"/>
        </w:rPr>
        <w:t xml:space="preserve">　</w:t>
      </w:r>
      <w:r>
        <w:rPr>
          <w:rFonts w:hint="eastAsia"/>
        </w:rPr>
        <w:t>行い有効活用に努めた</w:t>
      </w:r>
      <w:r w:rsidR="0032472A">
        <w:rPr>
          <w:rFonts w:hint="eastAsia"/>
        </w:rPr>
        <w:t>ため</w:t>
      </w:r>
      <w:r>
        <w:rPr>
          <w:rFonts w:hint="eastAsia"/>
        </w:rPr>
        <w:t>。</w:t>
      </w:r>
    </w:p>
    <w:p w:rsidR="004E1600" w:rsidRDefault="004E1600" w:rsidP="00D73FCF">
      <w:pPr>
        <w:ind w:leftChars="267" w:left="1559" w:rightChars="66" w:right="139" w:hangingChars="475" w:hanging="998"/>
      </w:pPr>
    </w:p>
    <w:tbl>
      <w:tblPr>
        <w:tblStyle w:val="a4"/>
        <w:tblW w:w="9214" w:type="dxa"/>
        <w:tblInd w:w="562" w:type="dxa"/>
        <w:tblLook w:val="04A0" w:firstRow="1" w:lastRow="0" w:firstColumn="1" w:lastColumn="0" w:noHBand="0" w:noVBand="1"/>
      </w:tblPr>
      <w:tblGrid>
        <w:gridCol w:w="1764"/>
        <w:gridCol w:w="3765"/>
        <w:gridCol w:w="1134"/>
        <w:gridCol w:w="1134"/>
        <w:gridCol w:w="1417"/>
      </w:tblGrid>
      <w:tr w:rsidR="009E6FA3" w:rsidTr="009E6FA3">
        <w:tc>
          <w:tcPr>
            <w:tcW w:w="5529" w:type="dxa"/>
            <w:gridSpan w:val="2"/>
            <w:shd w:val="clear" w:color="auto" w:fill="E7E6E6" w:themeFill="background2"/>
          </w:tcPr>
          <w:p w:rsidR="009E6FA3" w:rsidRPr="00EC0556" w:rsidRDefault="009E6FA3" w:rsidP="0036032B">
            <w:pPr>
              <w:rPr>
                <w:shd w:val="pct15" w:color="auto" w:fill="FFFFFF"/>
              </w:rPr>
            </w:pPr>
            <w:r w:rsidRPr="00C2515C">
              <w:rPr>
                <w:rFonts w:hint="eastAsia"/>
              </w:rPr>
              <w:t>２　ニーズに対応した「付加価値」を重視する市場</w:t>
            </w:r>
          </w:p>
        </w:tc>
        <w:tc>
          <w:tcPr>
            <w:tcW w:w="1134" w:type="dxa"/>
            <w:shd w:val="clear" w:color="auto" w:fill="E7E6E6" w:themeFill="background2"/>
          </w:tcPr>
          <w:p w:rsidR="009E6FA3" w:rsidRPr="00C2515C" w:rsidRDefault="009E6FA3" w:rsidP="0036032B">
            <w:r w:rsidRPr="00C2515C">
              <w:rPr>
                <w:rFonts w:hint="eastAsia"/>
              </w:rPr>
              <w:t>前回評価</w:t>
            </w:r>
          </w:p>
        </w:tc>
        <w:tc>
          <w:tcPr>
            <w:tcW w:w="1134" w:type="dxa"/>
            <w:shd w:val="clear" w:color="auto" w:fill="E7E6E6" w:themeFill="background2"/>
          </w:tcPr>
          <w:p w:rsidR="009E6FA3" w:rsidRPr="00C2515C" w:rsidRDefault="009E6FA3" w:rsidP="0036032B">
            <w:r w:rsidRPr="00C2515C">
              <w:rPr>
                <w:rFonts w:hint="eastAsia"/>
              </w:rPr>
              <w:t>今回評価</w:t>
            </w:r>
          </w:p>
        </w:tc>
        <w:tc>
          <w:tcPr>
            <w:tcW w:w="1417" w:type="dxa"/>
            <w:shd w:val="clear" w:color="auto" w:fill="E7E6E6" w:themeFill="background2"/>
          </w:tcPr>
          <w:p w:rsidR="009E6FA3" w:rsidRPr="00C2515C" w:rsidRDefault="005C2E49" w:rsidP="009E6FA3">
            <w:pPr>
              <w:jc w:val="center"/>
            </w:pPr>
            <w:r>
              <w:rPr>
                <w:rFonts w:hint="eastAsia"/>
              </w:rPr>
              <w:t>掲載箇所</w:t>
            </w:r>
          </w:p>
        </w:tc>
      </w:tr>
      <w:tr w:rsidR="005C2E49" w:rsidTr="00C04174">
        <w:tc>
          <w:tcPr>
            <w:tcW w:w="1764" w:type="dxa"/>
          </w:tcPr>
          <w:p w:rsidR="005C2E49" w:rsidRDefault="005C2E49" w:rsidP="005C2E49">
            <w:pPr>
              <w:spacing w:line="300" w:lineRule="exact"/>
            </w:pPr>
            <w:r w:rsidRPr="00D73FCF">
              <w:t>(2)加工施設や冷蔵庫の自主的整備</w:t>
            </w:r>
          </w:p>
        </w:tc>
        <w:tc>
          <w:tcPr>
            <w:tcW w:w="3765" w:type="dxa"/>
          </w:tcPr>
          <w:p w:rsidR="005C2E49" w:rsidRDefault="005C2E49" w:rsidP="005C2E49">
            <w:pPr>
              <w:spacing w:line="300" w:lineRule="exact"/>
            </w:pPr>
            <w:r w:rsidRPr="00D73FCF">
              <w:rPr>
                <w:rFonts w:hint="eastAsia"/>
              </w:rPr>
              <w:t>卸売場や仲卸売場などにおいて場内事業者が進める加工施設・冷蔵施設などの設置を推進</w:t>
            </w:r>
          </w:p>
        </w:tc>
        <w:tc>
          <w:tcPr>
            <w:tcW w:w="1134" w:type="dxa"/>
            <w:vAlign w:val="center"/>
          </w:tcPr>
          <w:p w:rsidR="005C2E49" w:rsidRDefault="005C2E49" w:rsidP="005C2E49">
            <w:pPr>
              <w:jc w:val="center"/>
            </w:pPr>
            <w:r>
              <w:rPr>
                <w:rFonts w:hint="eastAsia"/>
              </w:rPr>
              <w:t>○</w:t>
            </w:r>
          </w:p>
        </w:tc>
        <w:tc>
          <w:tcPr>
            <w:tcW w:w="1134" w:type="dxa"/>
            <w:vAlign w:val="center"/>
          </w:tcPr>
          <w:p w:rsidR="005C2E49" w:rsidRDefault="005C2E49" w:rsidP="005C2E49">
            <w:pPr>
              <w:jc w:val="center"/>
            </w:pPr>
            <w:r>
              <w:rPr>
                <w:rFonts w:hint="eastAsia"/>
              </w:rPr>
              <w:t>△</w:t>
            </w:r>
          </w:p>
        </w:tc>
        <w:tc>
          <w:tcPr>
            <w:tcW w:w="1417" w:type="dxa"/>
          </w:tcPr>
          <w:p w:rsidR="005C2E49" w:rsidRDefault="005C2E49" w:rsidP="005C2E49">
            <w:pPr>
              <w:spacing w:line="300" w:lineRule="exact"/>
            </w:pPr>
            <w:r>
              <w:rPr>
                <w:rFonts w:hint="eastAsia"/>
              </w:rPr>
              <w:t>資料１</w:t>
            </w:r>
            <w:r>
              <w:t>(1頁)</w:t>
            </w:r>
          </w:p>
          <w:p w:rsidR="005C2E49" w:rsidRDefault="005C2E49" w:rsidP="005C2E49">
            <w:pPr>
              <w:spacing w:line="300" w:lineRule="exact"/>
              <w:jc w:val="center"/>
            </w:pPr>
            <w:r>
              <w:rPr>
                <w:rFonts w:hint="eastAsia"/>
              </w:rPr>
              <w:t>及び</w:t>
            </w:r>
          </w:p>
          <w:p w:rsidR="005C2E49" w:rsidRDefault="005C2E49" w:rsidP="005C2E49">
            <w:pPr>
              <w:spacing w:line="300" w:lineRule="exact"/>
            </w:pPr>
            <w:r>
              <w:rPr>
                <w:rFonts w:hint="eastAsia"/>
              </w:rPr>
              <w:t>資料</w:t>
            </w:r>
            <w:r>
              <w:t>2 (</w:t>
            </w:r>
            <w:r>
              <w:rPr>
                <w:rFonts w:hint="eastAsia"/>
              </w:rPr>
              <w:t>2</w:t>
            </w:r>
            <w:r>
              <w:t>頁)</w:t>
            </w:r>
          </w:p>
        </w:tc>
      </w:tr>
    </w:tbl>
    <w:p w:rsidR="00D73FCF" w:rsidRDefault="00D73FCF" w:rsidP="00A2140C">
      <w:pPr>
        <w:spacing w:line="300" w:lineRule="exact"/>
        <w:ind w:leftChars="267" w:left="1559" w:rightChars="66" w:right="139" w:hangingChars="475" w:hanging="998"/>
      </w:pPr>
      <w:r>
        <w:rPr>
          <w:rFonts w:hint="eastAsia"/>
        </w:rPr>
        <w:t xml:space="preserve">　（理由）</w:t>
      </w:r>
      <w:r w:rsidR="0032472A">
        <w:rPr>
          <w:rFonts w:hint="eastAsia"/>
        </w:rPr>
        <w:t>令和3年度から低（定）温化設備導入支援補助制度を創設し、場内事業者の整備を</w:t>
      </w:r>
      <w:r w:rsidR="00A2140C">
        <w:rPr>
          <w:rFonts w:hint="eastAsia"/>
        </w:rPr>
        <w:t xml:space="preserve">　</w:t>
      </w:r>
      <w:r w:rsidR="0032472A">
        <w:rPr>
          <w:rFonts w:hint="eastAsia"/>
        </w:rPr>
        <w:t>支援したことで自主的な整備が一定進んだものの、卸売場・仲卸売場全体の低温化までには至らなかったため。</w:t>
      </w:r>
    </w:p>
    <w:p w:rsidR="004E1600" w:rsidRDefault="004E1600" w:rsidP="00A2140C">
      <w:pPr>
        <w:spacing w:line="300" w:lineRule="exact"/>
        <w:ind w:left="284" w:firstLineChars="64" w:firstLine="134"/>
      </w:pPr>
    </w:p>
    <w:p w:rsidR="002704AC" w:rsidRPr="00A2140C" w:rsidRDefault="00EC0556" w:rsidP="00A2140C">
      <w:pPr>
        <w:rPr>
          <w:b/>
          <w:u w:val="single"/>
        </w:rPr>
      </w:pPr>
      <w:r w:rsidRPr="00EC0556">
        <w:rPr>
          <w:rFonts w:hint="eastAsia"/>
          <w:b/>
          <w:u w:val="single"/>
        </w:rPr>
        <w:t>２．</w:t>
      </w:r>
      <w:r w:rsidR="0008715E" w:rsidRPr="00EC0556">
        <w:rPr>
          <w:rFonts w:hint="eastAsia"/>
          <w:b/>
          <w:u w:val="single"/>
        </w:rPr>
        <w:t>取扱高の状況について</w:t>
      </w:r>
    </w:p>
    <w:p w:rsidR="002704AC" w:rsidRDefault="009901AA" w:rsidP="00A2140C">
      <w:pPr>
        <w:ind w:left="284" w:firstLineChars="67" w:firstLine="141"/>
      </w:pPr>
      <w:r w:rsidRPr="009901AA">
        <w:rPr>
          <w:rFonts w:hint="eastAsia"/>
        </w:rPr>
        <w:t>府市場</w:t>
      </w:r>
      <w:r w:rsidR="00A2140C">
        <w:rPr>
          <w:rFonts w:hint="eastAsia"/>
        </w:rPr>
        <w:t>の取扱高は、全国の中央卸売市場と同様に人口減少や卸売市場経由率の低下</w:t>
      </w:r>
      <w:r w:rsidRPr="009901AA">
        <w:rPr>
          <w:rFonts w:hint="eastAsia"/>
        </w:rPr>
        <w:t>などを背景と</w:t>
      </w:r>
      <w:r w:rsidR="00A2140C">
        <w:rPr>
          <w:rFonts w:hint="eastAsia"/>
        </w:rPr>
        <w:t xml:space="preserve">　</w:t>
      </w:r>
      <w:r w:rsidRPr="009901AA">
        <w:rPr>
          <w:rFonts w:hint="eastAsia"/>
        </w:rPr>
        <w:t>して減少しており、取扱数量及び取扱金額ともに</w:t>
      </w:r>
      <w:r w:rsidR="002704AC">
        <w:rPr>
          <w:rFonts w:hint="eastAsia"/>
        </w:rPr>
        <w:t>計画期間中の</w:t>
      </w:r>
      <w:r w:rsidRPr="009901AA">
        <w:rPr>
          <w:rFonts w:hint="eastAsia"/>
        </w:rPr>
        <w:t>見込値を下回りました。</w:t>
      </w:r>
    </w:p>
    <w:p w:rsidR="007224A5" w:rsidRDefault="007224A5" w:rsidP="00A2140C"/>
    <w:p w:rsidR="002704AC" w:rsidRPr="00A2140C" w:rsidRDefault="00EC0556" w:rsidP="00A2140C">
      <w:pPr>
        <w:rPr>
          <w:b/>
          <w:u w:val="single"/>
        </w:rPr>
      </w:pPr>
      <w:r w:rsidRPr="00EC0556">
        <w:rPr>
          <w:rFonts w:hint="eastAsia"/>
          <w:b/>
          <w:u w:val="single"/>
        </w:rPr>
        <w:t>３．</w:t>
      </w:r>
      <w:r w:rsidR="002704AC" w:rsidRPr="00EC0556">
        <w:rPr>
          <w:rFonts w:hint="eastAsia"/>
          <w:b/>
          <w:u w:val="single"/>
        </w:rPr>
        <w:t>施設整備の実施状況について</w:t>
      </w:r>
    </w:p>
    <w:p w:rsidR="00071ED8" w:rsidRDefault="00071ED8" w:rsidP="002704AC">
      <w:pPr>
        <w:ind w:left="284" w:firstLineChars="67" w:firstLine="141"/>
      </w:pPr>
      <w:r>
        <w:rPr>
          <w:rFonts w:hint="eastAsia"/>
        </w:rPr>
        <w:t>平成28年度に策定した「大阪府中央卸売市場中長期保全計画」に基づき、市場施設の保全及び市場機能を維持するために必要な工事を実施しました。</w:t>
      </w:r>
    </w:p>
    <w:p w:rsidR="007224A5" w:rsidRDefault="007224A5" w:rsidP="00A2140C"/>
    <w:p w:rsidR="00E34EE4" w:rsidRPr="00A2140C" w:rsidRDefault="00E34EE4" w:rsidP="00A2140C">
      <w:pPr>
        <w:rPr>
          <w:b/>
          <w:u w:val="single"/>
        </w:rPr>
      </w:pPr>
      <w:r w:rsidRPr="00EC0556">
        <w:rPr>
          <w:rFonts w:hint="eastAsia"/>
          <w:b/>
          <w:u w:val="single"/>
        </w:rPr>
        <w:t>４．収支計画の状況について</w:t>
      </w:r>
    </w:p>
    <w:p w:rsidR="00071ED8" w:rsidRPr="00A2140C" w:rsidRDefault="00E34EE4" w:rsidP="00A2140C">
      <w:pPr>
        <w:ind w:left="284" w:firstLineChars="67" w:firstLine="141"/>
      </w:pPr>
      <w:r>
        <w:rPr>
          <w:rFonts w:hint="eastAsia"/>
        </w:rPr>
        <w:t>各維持使用料の減少等により収益が減少したものの、サービス水準を低下させることなく効率的な運営を行うことにより</w:t>
      </w:r>
      <w:r w:rsidR="000C74EB">
        <w:rPr>
          <w:rFonts w:hint="eastAsia"/>
        </w:rPr>
        <w:t>、各期の単年度損益は計画を上回る収支改善を達成しました。</w:t>
      </w:r>
    </w:p>
    <w:p w:rsidR="00071ED8" w:rsidRDefault="00071ED8" w:rsidP="00DE41BC"/>
    <w:p w:rsidR="00071ED8" w:rsidRPr="00EC0556" w:rsidRDefault="00EC0556" w:rsidP="00EC0556">
      <w:pPr>
        <w:rPr>
          <w:b/>
          <w:u w:val="single"/>
        </w:rPr>
      </w:pPr>
      <w:r w:rsidRPr="00EC0556">
        <w:rPr>
          <w:rFonts w:hint="eastAsia"/>
          <w:b/>
          <w:u w:val="single"/>
        </w:rPr>
        <w:t>５．</w:t>
      </w:r>
      <w:r w:rsidR="00071ED8" w:rsidRPr="00EC0556">
        <w:rPr>
          <w:rFonts w:hint="eastAsia"/>
          <w:b/>
          <w:u w:val="single"/>
        </w:rPr>
        <w:t>経営展望の取組</w:t>
      </w:r>
      <w:r w:rsidR="00C2515C">
        <w:rPr>
          <w:rFonts w:hint="eastAsia"/>
          <w:b/>
          <w:u w:val="single"/>
        </w:rPr>
        <w:t>み</w:t>
      </w:r>
      <w:r w:rsidR="00071ED8" w:rsidRPr="00EC0556">
        <w:rPr>
          <w:rFonts w:hint="eastAsia"/>
          <w:b/>
          <w:u w:val="single"/>
        </w:rPr>
        <w:t>に対する総括評価</w:t>
      </w:r>
    </w:p>
    <w:p w:rsidR="00EC0556" w:rsidRDefault="00EC0556" w:rsidP="00EC0556">
      <w:pPr>
        <w:ind w:left="284" w:firstLineChars="67" w:firstLine="141"/>
      </w:pPr>
      <w:r>
        <w:rPr>
          <w:rFonts w:hint="eastAsia"/>
        </w:rPr>
        <w:t>広域的な集荷・転送・分荷機能の強化や</w:t>
      </w:r>
      <w:r w:rsidR="00A2140C">
        <w:rPr>
          <w:rFonts w:hint="eastAsia"/>
        </w:rPr>
        <w:t>指定管理者に</w:t>
      </w:r>
      <w:bookmarkStart w:id="0" w:name="_GoBack"/>
      <w:bookmarkEnd w:id="0"/>
      <w:r w:rsidR="00A2140C">
        <w:rPr>
          <w:rFonts w:hint="eastAsia"/>
        </w:rPr>
        <w:t>よる効率的な運営等を行ったことなどにより、</w:t>
      </w:r>
      <w:r>
        <w:t>一定の成果を上げることがで</w:t>
      </w:r>
      <w:r>
        <w:rPr>
          <w:rFonts w:hint="eastAsia"/>
        </w:rPr>
        <w:t>きました</w:t>
      </w:r>
      <w:r>
        <w:t>。</w:t>
      </w:r>
    </w:p>
    <w:p w:rsidR="00EC0556" w:rsidRPr="00CF27BF" w:rsidRDefault="008B2A07" w:rsidP="00CF27BF">
      <w:pPr>
        <w:ind w:left="284" w:firstLineChars="67" w:firstLine="141"/>
        <w:rPr>
          <w:color w:val="FF0000"/>
        </w:rPr>
      </w:pPr>
      <w:r w:rsidRPr="00131476">
        <w:rPr>
          <w:rFonts w:hint="eastAsia"/>
        </w:rPr>
        <w:t>一方で、施設のコールドチェーン対応については、事業者の取組みやそれに対する支援を行い個別の取組みが一定進んだものの、施設全体としての整備は進められ</w:t>
      </w:r>
      <w:r w:rsidR="00CF27BF" w:rsidRPr="00131476">
        <w:rPr>
          <w:rFonts w:hint="eastAsia"/>
        </w:rPr>
        <w:t>ませんでした</w:t>
      </w:r>
      <w:r w:rsidRPr="00131476">
        <w:rPr>
          <w:rFonts w:hint="eastAsia"/>
        </w:rPr>
        <w:t>。太陽光発電などの自然エネルギーの活用</w:t>
      </w:r>
      <w:r w:rsidR="00CF27BF" w:rsidRPr="00131476">
        <w:rPr>
          <w:rFonts w:hint="eastAsia"/>
        </w:rPr>
        <w:t>などについては、構造上の問題や費用対効果の観点から実施を見送りました</w:t>
      </w:r>
      <w:r w:rsidRPr="00131476">
        <w:rPr>
          <w:rFonts w:hint="eastAsia"/>
        </w:rPr>
        <w:t>。</w:t>
      </w:r>
      <w:r w:rsidR="00E97C05" w:rsidRPr="00E97C05">
        <w:rPr>
          <w:rFonts w:hint="eastAsia"/>
        </w:rPr>
        <w:t>今後、これらの課</w:t>
      </w:r>
      <w:r w:rsidR="00EC0556" w:rsidRPr="00E97C05">
        <w:rPr>
          <w:rFonts w:hint="eastAsia"/>
        </w:rPr>
        <w:t>題等も含め、市場の機能強化については、市場建替え再整備の検討を進める中で、場内事業者をはじめ関係者と協議を重ねていきます。</w:t>
      </w:r>
    </w:p>
    <w:sectPr w:rsidR="00EC0556" w:rsidRPr="00CF27BF" w:rsidSect="00E97C05">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78B" w:rsidRDefault="00D7078B" w:rsidP="00D7078B">
      <w:r>
        <w:separator/>
      </w:r>
    </w:p>
  </w:endnote>
  <w:endnote w:type="continuationSeparator" w:id="0">
    <w:p w:rsidR="00D7078B" w:rsidRDefault="00D7078B" w:rsidP="00D7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78B" w:rsidRDefault="00D7078B" w:rsidP="00D7078B">
      <w:r>
        <w:separator/>
      </w:r>
    </w:p>
  </w:footnote>
  <w:footnote w:type="continuationSeparator" w:id="0">
    <w:p w:rsidR="00D7078B" w:rsidRDefault="00D7078B" w:rsidP="00D7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5CCC"/>
    <w:multiLevelType w:val="hybridMultilevel"/>
    <w:tmpl w:val="248A1538"/>
    <w:lvl w:ilvl="0" w:tplc="0890018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B67E7"/>
    <w:multiLevelType w:val="hybridMultilevel"/>
    <w:tmpl w:val="E7D0CF2C"/>
    <w:lvl w:ilvl="0" w:tplc="E7E27098">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56473"/>
    <w:multiLevelType w:val="hybridMultilevel"/>
    <w:tmpl w:val="3EE66590"/>
    <w:lvl w:ilvl="0" w:tplc="C43A769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8E6886"/>
    <w:multiLevelType w:val="hybridMultilevel"/>
    <w:tmpl w:val="E0EA075E"/>
    <w:lvl w:ilvl="0" w:tplc="1C1E2AE4">
      <w:start w:val="1"/>
      <w:numFmt w:val="decimalFullWidth"/>
      <w:lvlText w:val="%1．"/>
      <w:lvlJc w:val="left"/>
      <w:pPr>
        <w:ind w:left="7367" w:hanging="420"/>
      </w:pPr>
      <w:rPr>
        <w:rFonts w:hint="default"/>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4" w15:restartNumberingAfterBreak="0">
    <w:nsid w:val="65152DAC"/>
    <w:multiLevelType w:val="hybridMultilevel"/>
    <w:tmpl w:val="A5064984"/>
    <w:lvl w:ilvl="0" w:tplc="3A74EFF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6951E29"/>
    <w:multiLevelType w:val="hybridMultilevel"/>
    <w:tmpl w:val="82822AC2"/>
    <w:lvl w:ilvl="0" w:tplc="A1C0E8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E4"/>
    <w:rsid w:val="00071ED8"/>
    <w:rsid w:val="00084EA1"/>
    <w:rsid w:val="0008715E"/>
    <w:rsid w:val="000C74EB"/>
    <w:rsid w:val="00112960"/>
    <w:rsid w:val="00131476"/>
    <w:rsid w:val="002704AC"/>
    <w:rsid w:val="002B5E58"/>
    <w:rsid w:val="0032472A"/>
    <w:rsid w:val="003C42CE"/>
    <w:rsid w:val="004E1600"/>
    <w:rsid w:val="00542FF2"/>
    <w:rsid w:val="00585191"/>
    <w:rsid w:val="00590DF6"/>
    <w:rsid w:val="005C2E49"/>
    <w:rsid w:val="007224A5"/>
    <w:rsid w:val="007B3340"/>
    <w:rsid w:val="007C4678"/>
    <w:rsid w:val="007C4B4B"/>
    <w:rsid w:val="008B2A07"/>
    <w:rsid w:val="008E17D1"/>
    <w:rsid w:val="009901AA"/>
    <w:rsid w:val="009E6FA3"/>
    <w:rsid w:val="00A01BC0"/>
    <w:rsid w:val="00A152E4"/>
    <w:rsid w:val="00A2140C"/>
    <w:rsid w:val="00A627B2"/>
    <w:rsid w:val="00B8464B"/>
    <w:rsid w:val="00B86BBE"/>
    <w:rsid w:val="00BC1CAB"/>
    <w:rsid w:val="00BF74E6"/>
    <w:rsid w:val="00C2515C"/>
    <w:rsid w:val="00C45E0B"/>
    <w:rsid w:val="00CF27BF"/>
    <w:rsid w:val="00D07A54"/>
    <w:rsid w:val="00D16E94"/>
    <w:rsid w:val="00D40768"/>
    <w:rsid w:val="00D7078B"/>
    <w:rsid w:val="00D73FCF"/>
    <w:rsid w:val="00DA0FA8"/>
    <w:rsid w:val="00DE41BC"/>
    <w:rsid w:val="00E34EE4"/>
    <w:rsid w:val="00E923D8"/>
    <w:rsid w:val="00E97C05"/>
    <w:rsid w:val="00EC0556"/>
    <w:rsid w:val="00EC5178"/>
    <w:rsid w:val="00F95AA4"/>
    <w:rsid w:val="00FF3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35CB205-2444-48FA-BF3D-6D1D6A72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2E4"/>
    <w:pPr>
      <w:ind w:leftChars="400" w:left="840"/>
    </w:pPr>
  </w:style>
  <w:style w:type="table" w:styleId="a4">
    <w:name w:val="Table Grid"/>
    <w:basedOn w:val="a1"/>
    <w:uiPriority w:val="39"/>
    <w:rsid w:val="0011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24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24A5"/>
    <w:rPr>
      <w:rFonts w:asciiTheme="majorHAnsi" w:eastAsiaTheme="majorEastAsia" w:hAnsiTheme="majorHAnsi" w:cstheme="majorBidi"/>
      <w:sz w:val="18"/>
      <w:szCs w:val="18"/>
    </w:rPr>
  </w:style>
  <w:style w:type="paragraph" w:styleId="a7">
    <w:name w:val="header"/>
    <w:basedOn w:val="a"/>
    <w:link w:val="a8"/>
    <w:uiPriority w:val="99"/>
    <w:unhideWhenUsed/>
    <w:rsid w:val="00D7078B"/>
    <w:pPr>
      <w:tabs>
        <w:tab w:val="center" w:pos="4252"/>
        <w:tab w:val="right" w:pos="8504"/>
      </w:tabs>
      <w:snapToGrid w:val="0"/>
    </w:pPr>
  </w:style>
  <w:style w:type="character" w:customStyle="1" w:styleId="a8">
    <w:name w:val="ヘッダー (文字)"/>
    <w:basedOn w:val="a0"/>
    <w:link w:val="a7"/>
    <w:uiPriority w:val="99"/>
    <w:rsid w:val="00D7078B"/>
  </w:style>
  <w:style w:type="paragraph" w:styleId="a9">
    <w:name w:val="footer"/>
    <w:basedOn w:val="a"/>
    <w:link w:val="aa"/>
    <w:uiPriority w:val="99"/>
    <w:unhideWhenUsed/>
    <w:rsid w:val="00D7078B"/>
    <w:pPr>
      <w:tabs>
        <w:tab w:val="center" w:pos="4252"/>
        <w:tab w:val="right" w:pos="8504"/>
      </w:tabs>
      <w:snapToGrid w:val="0"/>
    </w:pPr>
  </w:style>
  <w:style w:type="character" w:customStyle="1" w:styleId="aa">
    <w:name w:val="フッター (文字)"/>
    <w:basedOn w:val="a0"/>
    <w:link w:val="a9"/>
    <w:uiPriority w:val="99"/>
    <w:rsid w:val="00D70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0929-B779-4199-9E2E-217F78EE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進作</dc:creator>
  <cp:keywords/>
  <dc:description/>
  <cp:lastModifiedBy>石井　進作</cp:lastModifiedBy>
  <cp:revision>24</cp:revision>
  <cp:lastPrinted>2023-01-20T06:24:00Z</cp:lastPrinted>
  <dcterms:created xsi:type="dcterms:W3CDTF">2022-12-20T02:30:00Z</dcterms:created>
  <dcterms:modified xsi:type="dcterms:W3CDTF">2023-01-26T10:25:00Z</dcterms:modified>
</cp:coreProperties>
</file>