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170FD3">
        <w:rPr>
          <w:rFonts w:ascii="Meiryo UI" w:eastAsia="Meiryo UI" w:hAnsi="Meiryo UI" w:hint="eastAsia"/>
          <w:sz w:val="44"/>
          <w:szCs w:val="40"/>
        </w:rPr>
        <w:t>熊取町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15.5%であり、2026年度には24.58%になる見込みです。&#10;2016年度の管路更新率は0.９4%であり、2026年度には0.84%になる見込みです。&#10;2016年度の基幹管路の耐震適合率は89.9%であり、2026年度には100%となる見込みです。&#10;浄水場については該当施設はありません。" title="熊取町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2E0D9A"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15.5</w:t>
                                    </w:r>
                                  </w:p>
                                </w:tc>
                                <w:tc>
                                  <w:tcPr>
                                    <w:tcW w:w="1094" w:type="dxa"/>
                                    <w:tcBorders>
                                      <w:right w:val="nil"/>
                                    </w:tcBorders>
                                    <w:shd w:val="clear" w:color="auto" w:fill="auto"/>
                                    <w:vAlign w:val="center"/>
                                  </w:tcPr>
                                  <w:p w:rsidR="004A79F1" w:rsidRPr="001E0FAD" w:rsidRDefault="002E0D9A" w:rsidP="002E0D9A">
                                    <w:pPr>
                                      <w:tabs>
                                        <w:tab w:val="left" w:pos="896"/>
                                      </w:tabs>
                                      <w:spacing w:line="280" w:lineRule="exact"/>
                                      <w:ind w:rightChars="-64" w:right="-134" w:firstLineChars="39" w:firstLine="94"/>
                                      <w:jc w:val="center"/>
                                      <w:rPr>
                                        <w:rFonts w:ascii="Meiryo UI" w:eastAsia="Meiryo UI" w:hAnsi="Meiryo UI"/>
                                        <w:b/>
                                        <w:sz w:val="24"/>
                                      </w:rPr>
                                    </w:pPr>
                                    <w:r>
                                      <w:rPr>
                                        <w:rFonts w:ascii="Meiryo UI" w:eastAsia="Meiryo UI" w:hAnsi="Meiryo UI"/>
                                        <w:b/>
                                        <w:sz w:val="24"/>
                                      </w:rPr>
                                      <w:t>24.58</w:t>
                                    </w:r>
                                  </w:p>
                                </w:tc>
                                <w:tc>
                                  <w:tcPr>
                                    <w:tcW w:w="1796" w:type="dxa"/>
                                    <w:tcBorders>
                                      <w:left w:val="nil"/>
                                    </w:tcBorders>
                                    <w:shd w:val="clear" w:color="auto" w:fill="auto"/>
                                    <w:vAlign w:val="center"/>
                                  </w:tcPr>
                                  <w:p w:rsidR="004A79F1" w:rsidRPr="001E0FAD" w:rsidRDefault="002E0D9A"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(2026</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71293A" w:rsidP="00035487">
                                    <w:pPr>
                                      <w:spacing w:line="300" w:lineRule="exact"/>
                                      <w:jc w:val="center"/>
                                      <w:rPr>
                                        <w:rFonts w:ascii="Meiryo UI" w:eastAsia="Meiryo UI" w:hAnsi="Meiryo UI"/>
                                        <w:b/>
                                        <w:sz w:val="24"/>
                                        <w:szCs w:val="18"/>
                                      </w:rPr>
                                    </w:pPr>
                                    <w:r w:rsidRPr="0071293A">
                                      <w:rPr>
                                        <w:rFonts w:ascii="Segoe UI Symbol" w:eastAsia="Meiryo UI" w:hAnsi="Segoe UI Symbol" w:cs="Segoe UI Symbol"/>
                                        <w:b/>
                                        <w:sz w:val="22"/>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416E6"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0.94</w:t>
                                    </w:r>
                                  </w:p>
                                </w:tc>
                                <w:tc>
                                  <w:tcPr>
                                    <w:tcW w:w="1094" w:type="dxa"/>
                                    <w:tcBorders>
                                      <w:right w:val="nil"/>
                                    </w:tcBorders>
                                    <w:shd w:val="clear" w:color="auto" w:fill="auto"/>
                                    <w:vAlign w:val="center"/>
                                  </w:tcPr>
                                  <w:p w:rsidR="004A79F1" w:rsidRPr="001E0FAD" w:rsidRDefault="002E0D9A"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w:t>
                                    </w:r>
                                    <w:r w:rsidR="00C112F7">
                                      <w:rPr>
                                        <w:rFonts w:ascii="Meiryo UI" w:eastAsia="Meiryo UI" w:hAnsi="Meiryo UI"/>
                                        <w:b/>
                                        <w:sz w:val="24"/>
                                      </w:rPr>
                                      <w:t>84</w:t>
                                    </w:r>
                                  </w:p>
                                </w:tc>
                                <w:tc>
                                  <w:tcPr>
                                    <w:tcW w:w="1796" w:type="dxa"/>
                                    <w:tcBorders>
                                      <w:left w:val="nil"/>
                                    </w:tcBorders>
                                    <w:shd w:val="clear" w:color="auto" w:fill="auto"/>
                                    <w:vAlign w:val="center"/>
                                  </w:tcPr>
                                  <w:p w:rsidR="004A79F1" w:rsidRPr="001E0FAD" w:rsidRDefault="002E0D9A"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(2026</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2E0D9A"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89.9</w:t>
                                    </w:r>
                                  </w:p>
                                </w:tc>
                                <w:tc>
                                  <w:tcPr>
                                    <w:tcW w:w="1094" w:type="dxa"/>
                                    <w:tcBorders>
                                      <w:right w:val="nil"/>
                                    </w:tcBorders>
                                    <w:shd w:val="clear" w:color="auto" w:fill="auto"/>
                                    <w:vAlign w:val="center"/>
                                  </w:tcPr>
                                  <w:p w:rsidR="004A79F1" w:rsidRPr="001E0FAD" w:rsidRDefault="002E0D9A"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2E0D9A">
                                      <w:rPr>
                                        <w:rFonts w:ascii="Meiryo UI" w:eastAsia="Meiryo UI" w:hAnsi="Meiryo UI" w:hint="eastAsia"/>
                                        <w:b/>
                                        <w:sz w:val="24"/>
                                      </w:rPr>
                                      <w:t>2026</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2E0D9A"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6D44A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354495">
                                      <w:rPr>
                                        <w:rFonts w:ascii="Meiryo UI" w:eastAsia="Meiryo UI" w:hAnsi="Meiryo UI" w:hint="eastAsia"/>
                                        <w:sz w:val="22"/>
                                        <w:szCs w:val="18"/>
                                      </w:rPr>
                                      <w:t>.</w:t>
                                    </w:r>
                                    <w:r w:rsidR="00354495">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2E0D9A"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170FD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熊取町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熊取町計画 - 説明: 2016年度の老朽管率は、15.5%であり、2026年度には24.58%になる見込みです。&#10;2016年度の管路更新率は0.９4%であり、2026年度には0.84%になる見込みです。&#10;2016年度の基幹管路の耐震適合率は89.9%であり、2026年度には100%となる見込みです。&#10;浄水場については該当施設はありません。"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2E0D9A"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15.5</w:t>
                              </w:r>
                            </w:p>
                          </w:tc>
                          <w:tc>
                            <w:tcPr>
                              <w:tcW w:w="1094" w:type="dxa"/>
                              <w:tcBorders>
                                <w:right w:val="nil"/>
                              </w:tcBorders>
                              <w:shd w:val="clear" w:color="auto" w:fill="auto"/>
                              <w:vAlign w:val="center"/>
                            </w:tcPr>
                            <w:p w:rsidR="004A79F1" w:rsidRPr="001E0FAD" w:rsidRDefault="002E0D9A" w:rsidP="002E0D9A">
                              <w:pPr>
                                <w:tabs>
                                  <w:tab w:val="left" w:pos="896"/>
                                </w:tabs>
                                <w:spacing w:line="280" w:lineRule="exact"/>
                                <w:ind w:rightChars="-64" w:right="-134" w:firstLineChars="39" w:firstLine="94"/>
                                <w:jc w:val="center"/>
                                <w:rPr>
                                  <w:rFonts w:ascii="Meiryo UI" w:eastAsia="Meiryo UI" w:hAnsi="Meiryo UI"/>
                                  <w:b/>
                                  <w:sz w:val="24"/>
                                </w:rPr>
                              </w:pPr>
                              <w:r>
                                <w:rPr>
                                  <w:rFonts w:ascii="Meiryo UI" w:eastAsia="Meiryo UI" w:hAnsi="Meiryo UI"/>
                                  <w:b/>
                                  <w:sz w:val="24"/>
                                </w:rPr>
                                <w:t>24.58</w:t>
                              </w:r>
                            </w:p>
                          </w:tc>
                          <w:tc>
                            <w:tcPr>
                              <w:tcW w:w="1796" w:type="dxa"/>
                              <w:tcBorders>
                                <w:left w:val="nil"/>
                              </w:tcBorders>
                              <w:shd w:val="clear" w:color="auto" w:fill="auto"/>
                              <w:vAlign w:val="center"/>
                            </w:tcPr>
                            <w:p w:rsidR="004A79F1" w:rsidRPr="001E0FAD" w:rsidRDefault="002E0D9A"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(2026</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71293A" w:rsidP="00035487">
                              <w:pPr>
                                <w:spacing w:line="300" w:lineRule="exact"/>
                                <w:jc w:val="center"/>
                                <w:rPr>
                                  <w:rFonts w:ascii="Meiryo UI" w:eastAsia="Meiryo UI" w:hAnsi="Meiryo UI"/>
                                  <w:b/>
                                  <w:sz w:val="24"/>
                                  <w:szCs w:val="18"/>
                                </w:rPr>
                              </w:pPr>
                              <w:r w:rsidRPr="0071293A">
                                <w:rPr>
                                  <w:rFonts w:ascii="Segoe UI Symbol" w:eastAsia="Meiryo UI" w:hAnsi="Segoe UI Symbol" w:cs="Segoe UI Symbol"/>
                                  <w:b/>
                                  <w:sz w:val="22"/>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416E6"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0.94</w:t>
                              </w:r>
                            </w:p>
                          </w:tc>
                          <w:tc>
                            <w:tcPr>
                              <w:tcW w:w="1094" w:type="dxa"/>
                              <w:tcBorders>
                                <w:right w:val="nil"/>
                              </w:tcBorders>
                              <w:shd w:val="clear" w:color="auto" w:fill="auto"/>
                              <w:vAlign w:val="center"/>
                            </w:tcPr>
                            <w:p w:rsidR="004A79F1" w:rsidRPr="001E0FAD" w:rsidRDefault="002E0D9A"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w:t>
                              </w:r>
                              <w:r w:rsidR="00C112F7">
                                <w:rPr>
                                  <w:rFonts w:ascii="Meiryo UI" w:eastAsia="Meiryo UI" w:hAnsi="Meiryo UI"/>
                                  <w:b/>
                                  <w:sz w:val="24"/>
                                </w:rPr>
                                <w:t>84</w:t>
                              </w:r>
                            </w:p>
                          </w:tc>
                          <w:tc>
                            <w:tcPr>
                              <w:tcW w:w="1796" w:type="dxa"/>
                              <w:tcBorders>
                                <w:left w:val="nil"/>
                              </w:tcBorders>
                              <w:shd w:val="clear" w:color="auto" w:fill="auto"/>
                              <w:vAlign w:val="center"/>
                            </w:tcPr>
                            <w:p w:rsidR="004A79F1" w:rsidRPr="001E0FAD" w:rsidRDefault="002E0D9A"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(2026</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2E0D9A"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89.9</w:t>
                              </w:r>
                            </w:p>
                          </w:tc>
                          <w:tc>
                            <w:tcPr>
                              <w:tcW w:w="1094" w:type="dxa"/>
                              <w:tcBorders>
                                <w:right w:val="nil"/>
                              </w:tcBorders>
                              <w:shd w:val="clear" w:color="auto" w:fill="auto"/>
                              <w:vAlign w:val="center"/>
                            </w:tcPr>
                            <w:p w:rsidR="004A79F1" w:rsidRPr="001E0FAD" w:rsidRDefault="002E0D9A"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2E0D9A">
                                <w:rPr>
                                  <w:rFonts w:ascii="Meiryo UI" w:eastAsia="Meiryo UI" w:hAnsi="Meiryo UI" w:hint="eastAsia"/>
                                  <w:b/>
                                  <w:sz w:val="24"/>
                                </w:rPr>
                                <w:t>2026</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2E0D9A"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6D44A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354495">
                                <w:rPr>
                                  <w:rFonts w:ascii="Meiryo UI" w:eastAsia="Meiryo UI" w:hAnsi="Meiryo UI" w:hint="eastAsia"/>
                                  <w:sz w:val="22"/>
                                  <w:szCs w:val="18"/>
                                </w:rPr>
                                <w:t>.</w:t>
                              </w:r>
                              <w:r w:rsidR="00354495">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2E0D9A"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170FD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熊取町</w:t>
                        </w:r>
                        <w:r w:rsidR="00DF5AFE" w:rsidRPr="00645BA0">
                          <w:rPr>
                            <w:rFonts w:ascii="Meiryo UI" w:eastAsia="Meiryo UI" w:hAnsi="Meiryo UI" w:hint="eastAsia"/>
                            <w:b/>
                            <w:sz w:val="28"/>
                          </w:rPr>
                          <w:t>計画</w:t>
                        </w:r>
                      </w:p>
                    </w:txbxContent>
                  </v:textbox>
                </v:roundrect>
              </v:group>
            </w:pict>
          </mc:Fallback>
        </mc:AlternateContent>
      </w:r>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61595</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A19DCA" id="_x0000_t32" coordsize="21600,21600" o:spt="32" o:oned="t" path="m,l21600,21600e" filled="f">
                <v:path arrowok="t" fillok="f" o:connecttype="none"/>
                <o:lock v:ext="edit" shapetype="t"/>
              </v:shapetype>
              <v:shape id="直線矢印コネクタ 15" o:spid="_x0000_s1026" type="#_x0000_t32" style="position:absolute;left:0;text-align:left;margin-left:189.55pt;margin-top:4.8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C34745"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4A349693" wp14:editId="5E8162B0">
            <wp:simplePos x="0" y="0"/>
            <wp:positionH relativeFrom="column">
              <wp:posOffset>4324350</wp:posOffset>
            </wp:positionH>
            <wp:positionV relativeFrom="paragraph">
              <wp:posOffset>800100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3161BA78" wp14:editId="0D3B560E">
                <wp:simplePos x="0" y="0"/>
                <wp:positionH relativeFrom="margin">
                  <wp:posOffset>0</wp:posOffset>
                </wp:positionH>
                <wp:positionV relativeFrom="paragraph">
                  <wp:posOffset>761365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C34745" w:rsidRDefault="00C34745" w:rsidP="00C34745">
                              <w:pPr>
                                <w:spacing w:line="400" w:lineRule="exact"/>
                                <w:jc w:val="center"/>
                                <w:rPr>
                                  <w:rFonts w:ascii="Meiryo UI" w:eastAsia="Meiryo UI" w:hAnsi="Meiryo UI"/>
                                  <w:b/>
                                </w:rPr>
                              </w:pPr>
                            </w:p>
                            <w:p w:rsidR="00C34745" w:rsidRPr="002E0141" w:rsidRDefault="00C34745" w:rsidP="00C3474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2,650</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3,405</w:t>
                              </w:r>
                              <w:r w:rsidRPr="00A97AF4">
                                <w:rPr>
                                  <w:rFonts w:ascii="Meiryo UI" w:eastAsia="Meiryo UI" w:hAnsi="Meiryo UI" w:hint="eastAsia"/>
                                  <w:b/>
                                  <w:sz w:val="40"/>
                                </w:rPr>
                                <w:t>円</w:t>
                              </w:r>
                            </w:p>
                            <w:p w:rsidR="00C34745" w:rsidRPr="00CC6F97" w:rsidRDefault="00C34745" w:rsidP="00C3474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1.3</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34745" w:rsidRPr="00A97AF4" w:rsidRDefault="00C34745" w:rsidP="00C34745"/>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C34745" w:rsidRDefault="00C34745" w:rsidP="00C3474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C34745" w:rsidRDefault="00C34745" w:rsidP="00C3474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C34745" w:rsidRPr="00645BA0" w:rsidRDefault="00C34745" w:rsidP="00C3474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（熊取町）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61BA78" id="グループ化 4" o:spid="_x0000_s1031" style="position:absolute;left:0;text-align:left;margin-left:0;margin-top:59.9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C34745" w:rsidRDefault="00C34745" w:rsidP="00C34745">
                        <w:pPr>
                          <w:spacing w:line="400" w:lineRule="exact"/>
                          <w:jc w:val="center"/>
                          <w:rPr>
                            <w:rFonts w:ascii="Meiryo UI" w:eastAsia="Meiryo UI" w:hAnsi="Meiryo UI"/>
                            <w:b/>
                          </w:rPr>
                        </w:pPr>
                      </w:p>
                      <w:p w:rsidR="00C34745" w:rsidRPr="002E0141" w:rsidRDefault="00C34745" w:rsidP="00C3474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2,650</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3,405</w:t>
                        </w:r>
                        <w:r w:rsidRPr="00A97AF4">
                          <w:rPr>
                            <w:rFonts w:ascii="Meiryo UI" w:eastAsia="Meiryo UI" w:hAnsi="Meiryo UI" w:hint="eastAsia"/>
                            <w:b/>
                            <w:sz w:val="40"/>
                          </w:rPr>
                          <w:t>円</w:t>
                        </w:r>
                      </w:p>
                      <w:p w:rsidR="00C34745" w:rsidRPr="00CC6F97" w:rsidRDefault="00C34745" w:rsidP="00C3474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1.3</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34745" w:rsidRPr="00A97AF4" w:rsidRDefault="00C34745" w:rsidP="00C34745"/>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C34745" w:rsidRDefault="00C34745" w:rsidP="00C3474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C34745" w:rsidRDefault="00C34745" w:rsidP="00C3474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C34745" w:rsidRPr="00645BA0" w:rsidRDefault="00C34745" w:rsidP="00C3474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（熊取町）</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C34745"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070A1D7C" wp14:editId="2A19C5C3">
                <wp:simplePos x="0" y="0"/>
                <wp:positionH relativeFrom="column">
                  <wp:posOffset>3009900</wp:posOffset>
                </wp:positionH>
                <wp:positionV relativeFrom="paragraph">
                  <wp:posOffset>190500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70BCA4" id="直線矢印コネクタ 17" o:spid="_x0000_s1026" type="#_x0000_t32" style="position:absolute;left:0;text-align:left;margin-left:237pt;margin-top:1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C34745" w:rsidRDefault="00B73E0D" w:rsidP="00C34745">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C34745">
        <w:rPr>
          <w:rFonts w:ascii="Meiryo UI" w:eastAsia="Meiryo UI" w:hAnsi="Meiryo UI" w:hint="eastAsia"/>
          <w:b/>
          <w:color w:val="000000" w:themeColor="text1"/>
          <w:sz w:val="24"/>
          <w:u w:val="single"/>
        </w:rPr>
        <w:t>あくまで将来の料金イメージです</w:t>
      </w:r>
      <w:r w:rsidR="009F2955" w:rsidRPr="00C34745">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170FD3">
        <w:rPr>
          <w:rFonts w:ascii="Meiryo UI" w:eastAsia="Meiryo UI" w:hAnsi="Meiryo UI" w:hint="eastAsia"/>
          <w:color w:val="000000" w:themeColor="text1"/>
          <w:sz w:val="28"/>
          <w:bdr w:val="single" w:sz="4" w:space="0" w:color="auto"/>
        </w:rPr>
        <w:t>町</w:t>
      </w:r>
      <w:r w:rsidR="008C4642" w:rsidRPr="002B468D">
        <w:rPr>
          <w:rFonts w:ascii="Meiryo UI" w:eastAsia="Meiryo UI" w:hAnsi="Meiryo UI" w:hint="eastAsia"/>
          <w:color w:val="000000" w:themeColor="text1"/>
          <w:sz w:val="28"/>
          <w:bdr w:val="single" w:sz="4" w:space="0" w:color="auto"/>
        </w:rPr>
        <w:t>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2C6B35" w:rsidRPr="002C6B35">
        <w:rPr>
          <w:rFonts w:ascii="Meiryo UI" w:eastAsia="Meiryo UI" w:hAnsi="Meiryo UI" w:hint="eastAsia"/>
          <w:color w:val="000000" w:themeColor="text1"/>
          <w:sz w:val="24"/>
        </w:rPr>
        <w:t>熊取町第</w:t>
      </w:r>
      <w:r w:rsidR="002C6B35" w:rsidRPr="002C6B35">
        <w:rPr>
          <w:rFonts w:ascii="Meiryo UI" w:eastAsia="Meiryo UI" w:hAnsi="Meiryo UI"/>
          <w:color w:val="000000" w:themeColor="text1"/>
          <w:sz w:val="24"/>
        </w:rPr>
        <w:t>6</w:t>
      </w:r>
      <w:r w:rsidR="002C6B35" w:rsidRPr="002C6B35">
        <w:rPr>
          <w:rFonts w:ascii="Meiryo UI" w:eastAsia="Meiryo UI" w:hAnsi="Meiryo UI" w:hint="eastAsia"/>
          <w:color w:val="000000" w:themeColor="text1"/>
          <w:sz w:val="24"/>
        </w:rPr>
        <w:t>次水道事業拡張計画（２０１６年策定）</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BD6C20"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BD6C20">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170FD3">
        <w:rPr>
          <w:rFonts w:ascii="Meiryo UI" w:eastAsia="Meiryo UI" w:hAnsi="Meiryo UI" w:hint="eastAsia"/>
          <w:color w:val="FF0000"/>
          <w:szCs w:val="24"/>
        </w:rPr>
        <w:t>町</w:t>
      </w:r>
      <w:r w:rsidRPr="00801BCB">
        <w:rPr>
          <w:rFonts w:ascii="Meiryo UI" w:eastAsia="Meiryo UI" w:hAnsi="Meiryo UI" w:hint="eastAsia"/>
          <w:color w:val="FF0000"/>
          <w:szCs w:val="24"/>
        </w:rPr>
        <w:t>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A1548B">
        <w:rPr>
          <w:rFonts w:ascii="Meiryo UI" w:eastAsia="Meiryo UI" w:hAnsi="Meiryo UI" w:hint="eastAsia"/>
          <w:color w:val="FF0000"/>
          <w:szCs w:val="24"/>
          <w:u w:val="single"/>
        </w:rPr>
        <w:t>165.1</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BD6C20" w:rsidRDefault="00BD6C20" w:rsidP="00BD6C20">
      <w:pPr>
        <w:pStyle w:val="a7"/>
        <w:spacing w:line="280" w:lineRule="exact"/>
        <w:ind w:leftChars="0" w:left="780"/>
        <w:rPr>
          <w:rFonts w:ascii="Meiryo UI" w:eastAsia="Meiryo UI" w:hAnsi="Meiryo UI" w:hint="eastAsia"/>
          <w:color w:val="FF0000"/>
          <w:szCs w:val="24"/>
          <w:u w:val="single"/>
        </w:rPr>
      </w:pPr>
    </w:p>
    <w:p w:rsidR="00BD6C20" w:rsidRPr="00277333" w:rsidRDefault="008C4642" w:rsidP="00BD6C20">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BD6C20">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BD6C20">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34F81"/>
    <w:rsid w:val="00244C89"/>
    <w:rsid w:val="0026011E"/>
    <w:rsid w:val="002977CD"/>
    <w:rsid w:val="002B468D"/>
    <w:rsid w:val="002C6B35"/>
    <w:rsid w:val="002E0141"/>
    <w:rsid w:val="002E0D9A"/>
    <w:rsid w:val="003458A9"/>
    <w:rsid w:val="00347A91"/>
    <w:rsid w:val="0035008A"/>
    <w:rsid w:val="0035099B"/>
    <w:rsid w:val="00354495"/>
    <w:rsid w:val="00356941"/>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282"/>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4A2"/>
    <w:rsid w:val="006D4918"/>
    <w:rsid w:val="006E5D8E"/>
    <w:rsid w:val="0071293A"/>
    <w:rsid w:val="00733D6E"/>
    <w:rsid w:val="007567C8"/>
    <w:rsid w:val="007B0C8E"/>
    <w:rsid w:val="007B7473"/>
    <w:rsid w:val="007C1BC1"/>
    <w:rsid w:val="007F2803"/>
    <w:rsid w:val="00801BCB"/>
    <w:rsid w:val="00804A6B"/>
    <w:rsid w:val="00815249"/>
    <w:rsid w:val="00823AB2"/>
    <w:rsid w:val="0089638B"/>
    <w:rsid w:val="008C4642"/>
    <w:rsid w:val="008D3546"/>
    <w:rsid w:val="008E2BC5"/>
    <w:rsid w:val="008E6968"/>
    <w:rsid w:val="008F18E1"/>
    <w:rsid w:val="00901D5A"/>
    <w:rsid w:val="00913A78"/>
    <w:rsid w:val="009507C4"/>
    <w:rsid w:val="00965C7F"/>
    <w:rsid w:val="009745F7"/>
    <w:rsid w:val="00986FD7"/>
    <w:rsid w:val="009A655F"/>
    <w:rsid w:val="009A78C7"/>
    <w:rsid w:val="009D18AD"/>
    <w:rsid w:val="009E2768"/>
    <w:rsid w:val="009F2955"/>
    <w:rsid w:val="009F5A93"/>
    <w:rsid w:val="00A05B53"/>
    <w:rsid w:val="00A1308D"/>
    <w:rsid w:val="00A1548B"/>
    <w:rsid w:val="00A23BB0"/>
    <w:rsid w:val="00A44A96"/>
    <w:rsid w:val="00A450F0"/>
    <w:rsid w:val="00A97AF4"/>
    <w:rsid w:val="00AC456E"/>
    <w:rsid w:val="00AC517E"/>
    <w:rsid w:val="00AD7F27"/>
    <w:rsid w:val="00AE42AD"/>
    <w:rsid w:val="00B416E6"/>
    <w:rsid w:val="00B73E0D"/>
    <w:rsid w:val="00B763A1"/>
    <w:rsid w:val="00B91DD3"/>
    <w:rsid w:val="00BA5637"/>
    <w:rsid w:val="00BA7B76"/>
    <w:rsid w:val="00BB3AFF"/>
    <w:rsid w:val="00BB5502"/>
    <w:rsid w:val="00BD6C20"/>
    <w:rsid w:val="00BE0C32"/>
    <w:rsid w:val="00BE6FD5"/>
    <w:rsid w:val="00C00384"/>
    <w:rsid w:val="00C063C9"/>
    <w:rsid w:val="00C07032"/>
    <w:rsid w:val="00C112F7"/>
    <w:rsid w:val="00C14F45"/>
    <w:rsid w:val="00C347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34A9D"/>
    <w:rsid w:val="00E4324C"/>
    <w:rsid w:val="00E828BF"/>
    <w:rsid w:val="00EA6190"/>
    <w:rsid w:val="00EB64EE"/>
    <w:rsid w:val="00EC0509"/>
    <w:rsid w:val="00EC4A50"/>
    <w:rsid w:val="00EF23DB"/>
    <w:rsid w:val="00F13102"/>
    <w:rsid w:val="00F22B41"/>
    <w:rsid w:val="00F47427"/>
    <w:rsid w:val="00F8391A"/>
    <w:rsid w:val="00FB2BA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A895FE"/>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CDE7-29AF-4FEB-92EB-7648EBF8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19</cp:revision>
  <cp:lastPrinted>2019-01-23T05:42:00Z</cp:lastPrinted>
  <dcterms:created xsi:type="dcterms:W3CDTF">2019-01-04T09:32:00Z</dcterms:created>
  <dcterms:modified xsi:type="dcterms:W3CDTF">2019-03-28T06:00:00Z</dcterms:modified>
</cp:coreProperties>
</file>