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972A5" w:rsidRDefault="001431C0">
      <w:r>
        <w:rPr>
          <w:noProof/>
        </w:rPr>
        <mc:AlternateContent>
          <mc:Choice Requires="wps">
            <w:drawing>
              <wp:anchor distT="45720" distB="45720" distL="114300" distR="114300" simplePos="0" relativeHeight="251658240" behindDoc="1" locked="0" layoutInCell="1" allowOverlap="1">
                <wp:simplePos x="0" y="0"/>
                <wp:positionH relativeFrom="column">
                  <wp:posOffset>5130165</wp:posOffset>
                </wp:positionH>
                <wp:positionV relativeFrom="paragraph">
                  <wp:posOffset>-775335</wp:posOffset>
                </wp:positionV>
                <wp:extent cx="990600" cy="487680"/>
                <wp:effectExtent l="0" t="0" r="19050" b="2667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7680"/>
                        </a:xfrm>
                        <a:prstGeom prst="rect">
                          <a:avLst/>
                        </a:prstGeom>
                        <a:solidFill>
                          <a:srgbClr val="FFFFFF"/>
                        </a:solidFill>
                        <a:ln w="25400">
                          <a:solidFill>
                            <a:srgbClr val="000000"/>
                          </a:solidFill>
                          <a:miter lim="800000"/>
                          <a:headEnd/>
                          <a:tailEnd/>
                        </a:ln>
                      </wps:spPr>
                      <wps:txbx>
                        <w:txbxContent>
                          <w:p w:rsidR="001431C0" w:rsidRPr="000B3FCE" w:rsidRDefault="001431C0" w:rsidP="001431C0">
                            <w:pPr>
                              <w:jc w:val="center"/>
                              <w:rPr>
                                <w:rFonts w:ascii="Meiryo UI" w:eastAsia="Meiryo UI" w:hAnsi="Meiryo UI"/>
                                <w:b/>
                                <w:sz w:val="28"/>
                              </w:rPr>
                            </w:pPr>
                            <w:r>
                              <w:rPr>
                                <w:rFonts w:ascii="Meiryo UI" w:eastAsia="Meiryo UI" w:hAnsi="Meiryo UI" w:hint="eastAsia"/>
                                <w:b/>
                                <w:sz w:val="28"/>
                              </w:rPr>
                              <w:t>資料２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403.95pt;margin-top:-61.05pt;width:78pt;height:38.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" strokeweight="2pt">
                <v:textbox style="mso-fit-shape-to-text:t">
                  <w:txbxContent>
                    <w:p w:rsidR="001431C0" w:rsidRPr="000B3FCE" w:rsidRDefault="001431C0" w:rsidP="001431C0">
                      <w:pPr>
                        <w:jc w:val="center"/>
                        <w:rPr>
                          <w:rFonts w:ascii="Meiryo UI" w:eastAsia="Meiryo UI" w:hAnsi="Meiryo UI"/>
                          <w:b/>
                          <w:sz w:val="28"/>
                        </w:rPr>
                      </w:pPr>
                      <w:r>
                        <w:rPr>
                          <w:rFonts w:ascii="Meiryo UI" w:eastAsia="Meiryo UI" w:hAnsi="Meiryo UI" w:hint="eastAsia"/>
                          <w:b/>
                          <w:sz w:val="28"/>
                        </w:rPr>
                        <w:t>資料２</w:t>
                      </w:r>
                    </w:p>
                  </w:txbxContent>
                </v:textbox>
              </v:shape>
            </w:pict>
          </mc:Fallback>
        </mc:AlternateContent>
      </w:r>
    </w:p>
    <w:p w:rsidR="001431C0" w:rsidRDefault="001431C0"/>
    <w:p w:rsidR="001431C0" w:rsidRPr="001431C0" w:rsidRDefault="001431C0">
      <w:r w:rsidRPr="00164A06">
        <w:rPr>
          <w:rFonts w:hint="eastAsia"/>
        </w:rPr>
        <w:t>【リスク分担表】○印が、リスク負担者</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5040"/>
        <w:gridCol w:w="616"/>
        <w:gridCol w:w="778"/>
      </w:tblGrid>
      <w:tr w:rsidR="001431C0" w:rsidRPr="00164A06" w:rsidTr="001431C0">
        <w:trPr>
          <w:cantSplit/>
        </w:trPr>
        <w:tc>
          <w:tcPr>
            <w:tcW w:w="648" w:type="dxa"/>
            <w:vMerge w:val="restart"/>
            <w:vAlign w:val="center"/>
          </w:tcPr>
          <w:p w:rsidR="001431C0" w:rsidRPr="00164A06" w:rsidRDefault="001431C0" w:rsidP="000C5DF7">
            <w:pPr>
              <w:jc w:val="center"/>
              <w:rPr>
                <w:rFonts w:ascii="ＭＳ ゴシック" w:eastAsia="ＭＳ ゴシック" w:hAnsi="ＭＳ ゴシック"/>
                <w:sz w:val="18"/>
                <w:szCs w:val="18"/>
              </w:rPr>
            </w:pPr>
          </w:p>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段階</w:t>
            </w:r>
          </w:p>
        </w:tc>
        <w:tc>
          <w:tcPr>
            <w:tcW w:w="1620" w:type="dxa"/>
            <w:vMerge w:val="restart"/>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種　類</w:t>
            </w:r>
          </w:p>
        </w:tc>
        <w:tc>
          <w:tcPr>
            <w:tcW w:w="5040" w:type="dxa"/>
            <w:vMerge w:val="restart"/>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内　　　容</w:t>
            </w:r>
          </w:p>
        </w:tc>
        <w:tc>
          <w:tcPr>
            <w:tcW w:w="1394" w:type="dxa"/>
            <w:gridSpan w:val="2"/>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負担者</w:t>
            </w:r>
          </w:p>
        </w:tc>
      </w:tr>
      <w:tr w:rsidR="001431C0" w:rsidRPr="00164A06" w:rsidTr="001431C0">
        <w:trPr>
          <w:cantSplit/>
          <w:trHeight w:val="160"/>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Merge/>
          </w:tcPr>
          <w:p w:rsidR="001431C0" w:rsidRPr="00164A06" w:rsidRDefault="001431C0" w:rsidP="000C5DF7">
            <w:pPr>
              <w:rPr>
                <w:rFonts w:ascii="ＭＳ ゴシック" w:eastAsia="ＭＳ ゴシック" w:hAnsi="ＭＳ ゴシック"/>
                <w:sz w:val="18"/>
                <w:szCs w:val="18"/>
              </w:rPr>
            </w:pPr>
          </w:p>
        </w:tc>
        <w:tc>
          <w:tcPr>
            <w:tcW w:w="5040" w:type="dxa"/>
            <w:vMerge/>
          </w:tcPr>
          <w:p w:rsidR="001431C0" w:rsidRPr="00164A06" w:rsidRDefault="001431C0" w:rsidP="000C5DF7">
            <w:pPr>
              <w:rPr>
                <w:rFonts w:ascii="ＭＳ ゴシック" w:eastAsia="ＭＳ ゴシック" w:hAnsi="ＭＳ ゴシック"/>
                <w:sz w:val="18"/>
                <w:szCs w:val="18"/>
              </w:rPr>
            </w:pPr>
          </w:p>
        </w:tc>
        <w:tc>
          <w:tcPr>
            <w:tcW w:w="616" w:type="dxa"/>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府</w:t>
            </w:r>
          </w:p>
        </w:tc>
        <w:tc>
          <w:tcPr>
            <w:tcW w:w="778" w:type="dxa"/>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指　定</w:t>
            </w:r>
          </w:p>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管理者</w:t>
            </w:r>
          </w:p>
        </w:tc>
      </w:tr>
      <w:tr w:rsidR="001431C0" w:rsidRPr="00164A06" w:rsidTr="001431C0">
        <w:trPr>
          <w:cantSplit/>
        </w:trPr>
        <w:tc>
          <w:tcPr>
            <w:tcW w:w="648" w:type="dxa"/>
            <w:vMerge w:val="restart"/>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共通</w:t>
            </w:r>
          </w:p>
        </w:tc>
        <w:tc>
          <w:tcPr>
            <w:tcW w:w="1620" w:type="dxa"/>
            <w:vAlign w:val="center"/>
          </w:tcPr>
          <w:p w:rsidR="001431C0" w:rsidRPr="00164A06" w:rsidRDefault="001431C0" w:rsidP="000C5DF7">
            <w:pP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法令の変更</w:t>
            </w:r>
          </w:p>
        </w:tc>
        <w:tc>
          <w:tcPr>
            <w:tcW w:w="5040" w:type="dxa"/>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事業運営に影響のある法令の変更（他の項目に記載されているものを除く）</w:t>
            </w:r>
          </w:p>
        </w:tc>
        <w:tc>
          <w:tcPr>
            <w:tcW w:w="616" w:type="dxa"/>
          </w:tcPr>
          <w:p w:rsidR="001431C0" w:rsidRPr="00164A06" w:rsidRDefault="001431C0" w:rsidP="000C5DF7">
            <w:pPr>
              <w:jc w:val="center"/>
              <w:rPr>
                <w:rFonts w:ascii="ＭＳ ゴシック" w:eastAsia="ＭＳ ゴシック" w:hAnsi="ＭＳ ゴシック"/>
                <w:sz w:val="18"/>
                <w:szCs w:val="18"/>
              </w:rPr>
            </w:pPr>
          </w:p>
        </w:tc>
        <w:tc>
          <w:tcPr>
            <w:tcW w:w="778" w:type="dxa"/>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cantSplit/>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tcPr>
          <w:p w:rsidR="001431C0" w:rsidRPr="00164A06" w:rsidRDefault="001431C0" w:rsidP="000C5DF7">
            <w:pP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金利</w:t>
            </w:r>
          </w:p>
        </w:tc>
        <w:tc>
          <w:tcPr>
            <w:tcW w:w="5040" w:type="dxa"/>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金利の変動</w:t>
            </w:r>
          </w:p>
        </w:tc>
        <w:tc>
          <w:tcPr>
            <w:tcW w:w="616" w:type="dxa"/>
          </w:tcPr>
          <w:p w:rsidR="001431C0" w:rsidRPr="00164A06" w:rsidRDefault="001431C0" w:rsidP="000C5DF7">
            <w:pPr>
              <w:jc w:val="center"/>
              <w:rPr>
                <w:rFonts w:ascii="ＭＳ ゴシック" w:eastAsia="ＭＳ ゴシック" w:hAnsi="ＭＳ ゴシック"/>
                <w:sz w:val="18"/>
                <w:szCs w:val="18"/>
              </w:rPr>
            </w:pPr>
          </w:p>
        </w:tc>
        <w:tc>
          <w:tcPr>
            <w:tcW w:w="778" w:type="dxa"/>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cantSplit/>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tcPr>
          <w:p w:rsidR="001431C0" w:rsidRPr="00164A06" w:rsidRDefault="001431C0" w:rsidP="000C5DF7">
            <w:pP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資金調達</w:t>
            </w:r>
          </w:p>
        </w:tc>
        <w:tc>
          <w:tcPr>
            <w:tcW w:w="5040" w:type="dxa"/>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必要な資金確保</w:t>
            </w:r>
          </w:p>
        </w:tc>
        <w:tc>
          <w:tcPr>
            <w:tcW w:w="616" w:type="dxa"/>
          </w:tcPr>
          <w:p w:rsidR="001431C0" w:rsidRPr="00164A06" w:rsidRDefault="001431C0" w:rsidP="000C5DF7">
            <w:pPr>
              <w:jc w:val="center"/>
              <w:rPr>
                <w:rFonts w:ascii="ＭＳ ゴシック" w:eastAsia="ＭＳ ゴシック" w:hAnsi="ＭＳ ゴシック"/>
                <w:sz w:val="18"/>
                <w:szCs w:val="18"/>
              </w:rPr>
            </w:pPr>
          </w:p>
        </w:tc>
        <w:tc>
          <w:tcPr>
            <w:tcW w:w="778" w:type="dxa"/>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cantSplit/>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tcPr>
          <w:p w:rsidR="001431C0" w:rsidRPr="00164A06" w:rsidRDefault="001431C0" w:rsidP="000C5DF7">
            <w:pPr>
              <w:pStyle w:val="a7"/>
              <w:rPr>
                <w:rFonts w:ascii="ＭＳ ゴシック" w:hAnsi="ＭＳ ゴシック"/>
              </w:rPr>
            </w:pPr>
            <w:r w:rsidRPr="00164A06">
              <w:rPr>
                <w:rFonts w:ascii="ＭＳ ゴシック" w:hAnsi="ＭＳ ゴシック" w:hint="eastAsia"/>
              </w:rPr>
              <w:t>周辺地域・住民・利用者への対応</w:t>
            </w:r>
          </w:p>
        </w:tc>
        <w:tc>
          <w:tcPr>
            <w:tcW w:w="5040" w:type="dxa"/>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施設利用者及び地域住民などからの苦情等対応</w:t>
            </w:r>
          </w:p>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地域との協調</w:t>
            </w:r>
          </w:p>
        </w:tc>
        <w:tc>
          <w:tcPr>
            <w:tcW w:w="616" w:type="dxa"/>
          </w:tcPr>
          <w:p w:rsidR="001431C0" w:rsidRPr="00164A06" w:rsidRDefault="001431C0" w:rsidP="000C5DF7">
            <w:pPr>
              <w:jc w:val="center"/>
              <w:rPr>
                <w:rFonts w:ascii="ＭＳ ゴシック" w:eastAsia="ＭＳ ゴシック" w:hAnsi="ＭＳ ゴシック"/>
                <w:sz w:val="18"/>
                <w:szCs w:val="18"/>
              </w:rPr>
            </w:pPr>
          </w:p>
        </w:tc>
        <w:tc>
          <w:tcPr>
            <w:tcW w:w="778" w:type="dxa"/>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cantSplit/>
          <w:trHeight w:val="301"/>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Align w:val="center"/>
          </w:tcPr>
          <w:p w:rsidR="001431C0" w:rsidRPr="00164A06" w:rsidRDefault="001431C0" w:rsidP="000C5DF7">
            <w:pP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安全性の確保</w:t>
            </w:r>
          </w:p>
        </w:tc>
        <w:tc>
          <w:tcPr>
            <w:tcW w:w="5040" w:type="dxa"/>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維持管理･運営における安全性の確保及び周辺環境の保全</w:t>
            </w:r>
          </w:p>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（応急措置を含む）</w:t>
            </w:r>
          </w:p>
        </w:tc>
        <w:tc>
          <w:tcPr>
            <w:tcW w:w="616" w:type="dxa"/>
          </w:tcPr>
          <w:p w:rsidR="001431C0" w:rsidRPr="00164A06" w:rsidRDefault="001431C0" w:rsidP="000C5DF7">
            <w:pPr>
              <w:jc w:val="center"/>
              <w:rPr>
                <w:rFonts w:ascii="ＭＳ ゴシック" w:eastAsia="ＭＳ ゴシック" w:hAnsi="ＭＳ ゴシック"/>
                <w:sz w:val="18"/>
                <w:szCs w:val="18"/>
              </w:rPr>
            </w:pPr>
          </w:p>
        </w:tc>
        <w:tc>
          <w:tcPr>
            <w:tcW w:w="778" w:type="dxa"/>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cantSplit/>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tcPr>
          <w:p w:rsidR="001431C0" w:rsidRPr="00164A06" w:rsidRDefault="001431C0" w:rsidP="000C5DF7">
            <w:pP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第三者賠償</w:t>
            </w:r>
          </w:p>
        </w:tc>
        <w:tc>
          <w:tcPr>
            <w:tcW w:w="5040" w:type="dxa"/>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維持補修･運営において第三者に損害を与えた場合</w:t>
            </w:r>
          </w:p>
        </w:tc>
        <w:tc>
          <w:tcPr>
            <w:tcW w:w="616" w:type="dxa"/>
          </w:tcPr>
          <w:p w:rsidR="001431C0" w:rsidRPr="00164A06" w:rsidRDefault="001431C0" w:rsidP="000C5DF7">
            <w:pPr>
              <w:jc w:val="center"/>
              <w:rPr>
                <w:rFonts w:ascii="ＭＳ ゴシック" w:eastAsia="ＭＳ ゴシック" w:hAnsi="ＭＳ ゴシック"/>
                <w:sz w:val="18"/>
                <w:szCs w:val="18"/>
              </w:rPr>
            </w:pPr>
          </w:p>
        </w:tc>
        <w:tc>
          <w:tcPr>
            <w:tcW w:w="778" w:type="dxa"/>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cantSplit/>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Merge w:val="restart"/>
            <w:vAlign w:val="center"/>
          </w:tcPr>
          <w:p w:rsidR="001431C0" w:rsidRPr="00164A06" w:rsidRDefault="001431C0" w:rsidP="000C5DF7">
            <w:pP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事業の中止・延期</w:t>
            </w:r>
          </w:p>
        </w:tc>
        <w:tc>
          <w:tcPr>
            <w:tcW w:w="5040" w:type="dxa"/>
          </w:tcPr>
          <w:p w:rsidR="001431C0" w:rsidRPr="00164A06" w:rsidRDefault="001431C0" w:rsidP="000C5DF7">
            <w:pPr>
              <w:rPr>
                <w:rFonts w:ascii="ＭＳ ゴシック" w:eastAsia="ＭＳ ゴシック" w:hAnsi="ＭＳ ゴシック"/>
                <w:sz w:val="16"/>
                <w:szCs w:val="16"/>
              </w:rPr>
            </w:pPr>
            <w:r>
              <w:rPr>
                <w:rFonts w:ascii="ＭＳ ゴシック" w:eastAsia="ＭＳ ゴシック" w:hAnsi="ＭＳ ゴシック" w:hint="eastAsia"/>
                <w:sz w:val="16"/>
                <w:szCs w:val="16"/>
              </w:rPr>
              <w:t>府</w:t>
            </w:r>
            <w:r w:rsidRPr="00164A06">
              <w:rPr>
                <w:rFonts w:ascii="ＭＳ ゴシック" w:eastAsia="ＭＳ ゴシック" w:hAnsi="ＭＳ ゴシック" w:hint="eastAsia"/>
                <w:sz w:val="16"/>
                <w:szCs w:val="16"/>
              </w:rPr>
              <w:t>の責任による遅延・中止</w:t>
            </w:r>
          </w:p>
        </w:tc>
        <w:tc>
          <w:tcPr>
            <w:tcW w:w="616" w:type="dxa"/>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c>
          <w:tcPr>
            <w:tcW w:w="778" w:type="dxa"/>
          </w:tcPr>
          <w:p w:rsidR="001431C0" w:rsidRPr="00164A06" w:rsidRDefault="001431C0" w:rsidP="000C5DF7">
            <w:pPr>
              <w:jc w:val="center"/>
              <w:rPr>
                <w:rFonts w:ascii="ＭＳ ゴシック" w:eastAsia="ＭＳ ゴシック" w:hAnsi="ＭＳ ゴシック"/>
                <w:sz w:val="18"/>
                <w:szCs w:val="18"/>
              </w:rPr>
            </w:pPr>
          </w:p>
        </w:tc>
      </w:tr>
      <w:tr w:rsidR="001431C0" w:rsidRPr="00164A06" w:rsidTr="001431C0">
        <w:trPr>
          <w:cantSplit/>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Merge/>
          </w:tcPr>
          <w:p w:rsidR="001431C0" w:rsidRPr="00164A06" w:rsidRDefault="001431C0" w:rsidP="000C5DF7">
            <w:pPr>
              <w:rPr>
                <w:rFonts w:ascii="ＭＳ ゴシック" w:eastAsia="ＭＳ ゴシック" w:hAnsi="ＭＳ ゴシック"/>
                <w:sz w:val="18"/>
                <w:szCs w:val="18"/>
              </w:rPr>
            </w:pPr>
          </w:p>
        </w:tc>
        <w:tc>
          <w:tcPr>
            <w:tcW w:w="5040" w:type="dxa"/>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法令その他制度の変更等のために府の建物所有が困難になったことによる中止</w:t>
            </w:r>
          </w:p>
        </w:tc>
        <w:tc>
          <w:tcPr>
            <w:tcW w:w="616" w:type="dxa"/>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c>
          <w:tcPr>
            <w:tcW w:w="778" w:type="dxa"/>
          </w:tcPr>
          <w:p w:rsidR="001431C0" w:rsidRPr="00164A06" w:rsidRDefault="001431C0" w:rsidP="000C5DF7">
            <w:pPr>
              <w:jc w:val="center"/>
              <w:rPr>
                <w:rFonts w:ascii="ＭＳ ゴシック" w:eastAsia="ＭＳ ゴシック" w:hAnsi="ＭＳ ゴシック"/>
                <w:sz w:val="18"/>
                <w:szCs w:val="18"/>
              </w:rPr>
            </w:pPr>
          </w:p>
        </w:tc>
      </w:tr>
      <w:tr w:rsidR="001431C0" w:rsidRPr="00164A06" w:rsidTr="001431C0">
        <w:trPr>
          <w:cantSplit/>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Merge/>
          </w:tcPr>
          <w:p w:rsidR="001431C0" w:rsidRPr="00164A06" w:rsidRDefault="001431C0" w:rsidP="000C5DF7">
            <w:pPr>
              <w:rPr>
                <w:rFonts w:ascii="ＭＳ ゴシック" w:eastAsia="ＭＳ ゴシック" w:hAnsi="ＭＳ ゴシック"/>
                <w:sz w:val="18"/>
                <w:szCs w:val="18"/>
              </w:rPr>
            </w:pPr>
          </w:p>
        </w:tc>
        <w:tc>
          <w:tcPr>
            <w:tcW w:w="5040" w:type="dxa"/>
          </w:tcPr>
          <w:p w:rsidR="001431C0" w:rsidRPr="00164A06" w:rsidRDefault="001431C0" w:rsidP="000C5DF7">
            <w:pPr>
              <w:rPr>
                <w:rFonts w:ascii="ＭＳ ゴシック" w:eastAsia="ＭＳ ゴシック" w:hAnsi="ＭＳ ゴシック"/>
                <w:sz w:val="16"/>
                <w:szCs w:val="16"/>
              </w:rPr>
            </w:pPr>
            <w:r>
              <w:rPr>
                <w:rFonts w:ascii="ＭＳ ゴシック" w:eastAsia="ＭＳ ゴシック" w:hAnsi="ＭＳ ゴシック" w:hint="eastAsia"/>
                <w:sz w:val="16"/>
                <w:szCs w:val="16"/>
              </w:rPr>
              <w:t>指定管理者</w:t>
            </w:r>
            <w:r w:rsidRPr="00164A06">
              <w:rPr>
                <w:rFonts w:ascii="ＭＳ ゴシック" w:eastAsia="ＭＳ ゴシック" w:hAnsi="ＭＳ ゴシック" w:hint="eastAsia"/>
                <w:sz w:val="16"/>
                <w:szCs w:val="16"/>
              </w:rPr>
              <w:t>の責任による遅延・中止</w:t>
            </w:r>
          </w:p>
        </w:tc>
        <w:tc>
          <w:tcPr>
            <w:tcW w:w="616" w:type="dxa"/>
          </w:tcPr>
          <w:p w:rsidR="001431C0" w:rsidRPr="00164A06" w:rsidRDefault="001431C0" w:rsidP="000C5DF7">
            <w:pPr>
              <w:jc w:val="center"/>
              <w:rPr>
                <w:rFonts w:ascii="ＭＳ ゴシック" w:eastAsia="ＭＳ ゴシック" w:hAnsi="ＭＳ ゴシック"/>
                <w:sz w:val="18"/>
                <w:szCs w:val="18"/>
              </w:rPr>
            </w:pPr>
          </w:p>
        </w:tc>
        <w:tc>
          <w:tcPr>
            <w:tcW w:w="778" w:type="dxa"/>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cantSplit/>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Merge/>
          </w:tcPr>
          <w:p w:rsidR="001431C0" w:rsidRPr="00164A06" w:rsidRDefault="001431C0" w:rsidP="000C5DF7">
            <w:pPr>
              <w:rPr>
                <w:rFonts w:ascii="ＭＳ ゴシック" w:eastAsia="ＭＳ ゴシック" w:hAnsi="ＭＳ ゴシック"/>
                <w:sz w:val="18"/>
                <w:szCs w:val="18"/>
              </w:rPr>
            </w:pPr>
          </w:p>
        </w:tc>
        <w:tc>
          <w:tcPr>
            <w:tcW w:w="5040" w:type="dxa"/>
          </w:tcPr>
          <w:p w:rsidR="001431C0" w:rsidRPr="00164A06" w:rsidRDefault="001431C0" w:rsidP="000C5DF7">
            <w:pPr>
              <w:rPr>
                <w:rFonts w:ascii="ＭＳ ゴシック" w:eastAsia="ＭＳ ゴシック" w:hAnsi="ＭＳ ゴシック"/>
                <w:sz w:val="16"/>
                <w:szCs w:val="16"/>
              </w:rPr>
            </w:pPr>
            <w:r>
              <w:rPr>
                <w:rFonts w:ascii="ＭＳ ゴシック" w:eastAsia="ＭＳ ゴシック" w:hAnsi="ＭＳ ゴシック" w:hint="eastAsia"/>
                <w:sz w:val="16"/>
                <w:szCs w:val="16"/>
              </w:rPr>
              <w:t>指定管理者</w:t>
            </w:r>
            <w:r w:rsidRPr="00164A06">
              <w:rPr>
                <w:rFonts w:ascii="ＭＳ ゴシック" w:eastAsia="ＭＳ ゴシック" w:hAnsi="ＭＳ ゴシック" w:hint="eastAsia"/>
                <w:sz w:val="16"/>
                <w:szCs w:val="16"/>
              </w:rPr>
              <w:t>の事業放棄・破綻</w:t>
            </w:r>
          </w:p>
        </w:tc>
        <w:tc>
          <w:tcPr>
            <w:tcW w:w="616" w:type="dxa"/>
          </w:tcPr>
          <w:p w:rsidR="001431C0" w:rsidRPr="00164A06" w:rsidRDefault="001431C0" w:rsidP="000C5DF7">
            <w:pPr>
              <w:jc w:val="center"/>
              <w:rPr>
                <w:rFonts w:ascii="ＭＳ ゴシック" w:eastAsia="ＭＳ ゴシック" w:hAnsi="ＭＳ ゴシック"/>
                <w:sz w:val="18"/>
                <w:szCs w:val="18"/>
              </w:rPr>
            </w:pPr>
          </w:p>
        </w:tc>
        <w:tc>
          <w:tcPr>
            <w:tcW w:w="778" w:type="dxa"/>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cantSplit/>
          <w:trHeight w:val="156"/>
        </w:trPr>
        <w:tc>
          <w:tcPr>
            <w:tcW w:w="648" w:type="dxa"/>
            <w:vMerge w:val="restart"/>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応募段階</w:t>
            </w:r>
          </w:p>
        </w:tc>
        <w:tc>
          <w:tcPr>
            <w:tcW w:w="1620" w:type="dxa"/>
          </w:tcPr>
          <w:p w:rsidR="001431C0" w:rsidRPr="00164A06" w:rsidRDefault="001431C0" w:rsidP="000C5DF7">
            <w:pP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応募コスト</w:t>
            </w:r>
          </w:p>
        </w:tc>
        <w:tc>
          <w:tcPr>
            <w:tcW w:w="5040" w:type="dxa"/>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応募コストの負担</w:t>
            </w:r>
          </w:p>
        </w:tc>
        <w:tc>
          <w:tcPr>
            <w:tcW w:w="616" w:type="dxa"/>
          </w:tcPr>
          <w:p w:rsidR="001431C0" w:rsidRPr="00164A06" w:rsidRDefault="001431C0" w:rsidP="000C5DF7">
            <w:pPr>
              <w:jc w:val="center"/>
              <w:rPr>
                <w:rFonts w:ascii="ＭＳ ゴシック" w:eastAsia="ＭＳ ゴシック" w:hAnsi="ＭＳ ゴシック"/>
                <w:sz w:val="18"/>
                <w:szCs w:val="18"/>
              </w:rPr>
            </w:pPr>
          </w:p>
        </w:tc>
        <w:tc>
          <w:tcPr>
            <w:tcW w:w="778" w:type="dxa"/>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cantSplit/>
          <w:trHeight w:val="70"/>
        </w:trPr>
        <w:tc>
          <w:tcPr>
            <w:tcW w:w="648" w:type="dxa"/>
            <w:vMerge/>
            <w:vAlign w:val="center"/>
          </w:tcPr>
          <w:p w:rsidR="001431C0" w:rsidRPr="00164A06" w:rsidRDefault="001431C0" w:rsidP="000C5DF7">
            <w:pPr>
              <w:jc w:val="center"/>
              <w:rPr>
                <w:rFonts w:ascii="ＭＳ ゴシック" w:eastAsia="ＭＳ ゴシック" w:hAnsi="ＭＳ ゴシック"/>
                <w:sz w:val="18"/>
                <w:szCs w:val="18"/>
              </w:rPr>
            </w:pPr>
          </w:p>
        </w:tc>
        <w:tc>
          <w:tcPr>
            <w:tcW w:w="1620" w:type="dxa"/>
          </w:tcPr>
          <w:p w:rsidR="001431C0" w:rsidRPr="00164A06" w:rsidRDefault="001431C0" w:rsidP="000C5DF7">
            <w:pP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資金調達</w:t>
            </w:r>
          </w:p>
        </w:tc>
        <w:tc>
          <w:tcPr>
            <w:tcW w:w="5040" w:type="dxa"/>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必要な資金の確保</w:t>
            </w:r>
          </w:p>
        </w:tc>
        <w:tc>
          <w:tcPr>
            <w:tcW w:w="616" w:type="dxa"/>
          </w:tcPr>
          <w:p w:rsidR="001431C0" w:rsidRPr="00164A06" w:rsidRDefault="001431C0" w:rsidP="000C5DF7">
            <w:pPr>
              <w:jc w:val="center"/>
              <w:rPr>
                <w:rFonts w:ascii="ＭＳ ゴシック" w:eastAsia="ＭＳ ゴシック" w:hAnsi="ＭＳ ゴシック"/>
                <w:sz w:val="18"/>
                <w:szCs w:val="18"/>
              </w:rPr>
            </w:pPr>
          </w:p>
        </w:tc>
        <w:tc>
          <w:tcPr>
            <w:tcW w:w="778" w:type="dxa"/>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trHeight w:val="322"/>
        </w:trPr>
        <w:tc>
          <w:tcPr>
            <w:tcW w:w="648" w:type="dxa"/>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準備段階</w:t>
            </w:r>
          </w:p>
        </w:tc>
        <w:tc>
          <w:tcPr>
            <w:tcW w:w="1620" w:type="dxa"/>
            <w:vAlign w:val="center"/>
          </w:tcPr>
          <w:p w:rsidR="001431C0" w:rsidRPr="00164A06" w:rsidRDefault="001431C0" w:rsidP="000C5DF7">
            <w:pP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引継コスト</w:t>
            </w:r>
          </w:p>
        </w:tc>
        <w:tc>
          <w:tcPr>
            <w:tcW w:w="5040" w:type="dxa"/>
            <w:vAlign w:val="center"/>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施設運営の引継コストの負担</w:t>
            </w:r>
          </w:p>
        </w:tc>
        <w:tc>
          <w:tcPr>
            <w:tcW w:w="616" w:type="dxa"/>
            <w:vAlign w:val="center"/>
          </w:tcPr>
          <w:p w:rsidR="001431C0" w:rsidRPr="00164A06" w:rsidRDefault="001431C0" w:rsidP="000C5DF7">
            <w:pPr>
              <w:rPr>
                <w:rFonts w:ascii="ＭＳ ゴシック" w:eastAsia="ＭＳ ゴシック" w:hAnsi="ＭＳ ゴシック"/>
                <w:sz w:val="18"/>
                <w:szCs w:val="18"/>
              </w:rPr>
            </w:pPr>
          </w:p>
        </w:tc>
        <w:tc>
          <w:tcPr>
            <w:tcW w:w="778" w:type="dxa"/>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cantSplit/>
          <w:trHeight w:val="362"/>
        </w:trPr>
        <w:tc>
          <w:tcPr>
            <w:tcW w:w="648" w:type="dxa"/>
            <w:vMerge w:val="restart"/>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維持管理</w:t>
            </w:r>
          </w:p>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運営</w:t>
            </w:r>
          </w:p>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段階</w:t>
            </w:r>
          </w:p>
        </w:tc>
        <w:tc>
          <w:tcPr>
            <w:tcW w:w="1620" w:type="dxa"/>
            <w:vAlign w:val="center"/>
          </w:tcPr>
          <w:p w:rsidR="001431C0" w:rsidRPr="00164A06" w:rsidRDefault="001431C0" w:rsidP="000C5DF7">
            <w:pP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物価</w:t>
            </w:r>
          </w:p>
        </w:tc>
        <w:tc>
          <w:tcPr>
            <w:tcW w:w="5040" w:type="dxa"/>
            <w:vAlign w:val="center"/>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物価変動</w:t>
            </w:r>
          </w:p>
        </w:tc>
        <w:tc>
          <w:tcPr>
            <w:tcW w:w="616" w:type="dxa"/>
            <w:vAlign w:val="center"/>
          </w:tcPr>
          <w:p w:rsidR="001431C0" w:rsidRPr="00164A06" w:rsidRDefault="001431C0" w:rsidP="000C5DF7">
            <w:pPr>
              <w:rPr>
                <w:rFonts w:ascii="ＭＳ ゴシック" w:eastAsia="ＭＳ ゴシック" w:hAnsi="ＭＳ ゴシック"/>
                <w:sz w:val="18"/>
                <w:szCs w:val="18"/>
              </w:rPr>
            </w:pPr>
          </w:p>
        </w:tc>
        <w:tc>
          <w:tcPr>
            <w:tcW w:w="778" w:type="dxa"/>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cantSplit/>
          <w:trHeight w:val="253"/>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Merge w:val="restart"/>
            <w:vAlign w:val="center"/>
          </w:tcPr>
          <w:p w:rsidR="001431C0" w:rsidRPr="00164A06" w:rsidRDefault="001431C0" w:rsidP="000C5DF7">
            <w:pP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維持補修</w:t>
            </w:r>
          </w:p>
        </w:tc>
        <w:tc>
          <w:tcPr>
            <w:tcW w:w="5040" w:type="dxa"/>
            <w:vAlign w:val="center"/>
          </w:tcPr>
          <w:p w:rsidR="001431C0" w:rsidRPr="00164A06" w:rsidRDefault="001431C0" w:rsidP="000C5DF7">
            <w:pPr>
              <w:rPr>
                <w:rFonts w:ascii="ＭＳ ゴシック" w:eastAsia="ＭＳ ゴシック" w:hAnsi="ＭＳ ゴシック"/>
                <w:sz w:val="16"/>
                <w:szCs w:val="16"/>
              </w:rPr>
            </w:pPr>
            <w:r>
              <w:rPr>
                <w:rFonts w:ascii="ＭＳ ゴシック" w:eastAsia="ＭＳ ゴシック" w:hAnsi="ＭＳ ゴシック" w:hint="eastAsia"/>
                <w:sz w:val="16"/>
                <w:szCs w:val="16"/>
              </w:rPr>
              <w:t>指定管理者</w:t>
            </w:r>
            <w:r w:rsidRPr="00164A06">
              <w:rPr>
                <w:rFonts w:ascii="ＭＳ ゴシック" w:eastAsia="ＭＳ ゴシック" w:hAnsi="ＭＳ ゴシック" w:hint="eastAsia"/>
                <w:sz w:val="16"/>
                <w:szCs w:val="16"/>
              </w:rPr>
              <w:t>の発意により行う施設・設備・外構の維持補修</w:t>
            </w:r>
          </w:p>
        </w:tc>
        <w:tc>
          <w:tcPr>
            <w:tcW w:w="616" w:type="dxa"/>
            <w:vAlign w:val="center"/>
          </w:tcPr>
          <w:p w:rsidR="001431C0" w:rsidRPr="00164A06" w:rsidRDefault="001431C0" w:rsidP="000C5DF7">
            <w:pPr>
              <w:rPr>
                <w:rFonts w:ascii="ＭＳ ゴシック" w:eastAsia="ＭＳ ゴシック" w:hAnsi="ＭＳ ゴシック"/>
                <w:sz w:val="18"/>
                <w:szCs w:val="18"/>
              </w:rPr>
            </w:pPr>
          </w:p>
        </w:tc>
        <w:tc>
          <w:tcPr>
            <w:tcW w:w="778" w:type="dxa"/>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cantSplit/>
          <w:trHeight w:val="253"/>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Merge/>
            <w:vAlign w:val="center"/>
          </w:tcPr>
          <w:p w:rsidR="001431C0" w:rsidRPr="00164A06" w:rsidRDefault="001431C0" w:rsidP="000C5DF7">
            <w:pPr>
              <w:rPr>
                <w:rFonts w:ascii="ＭＳ ゴシック" w:eastAsia="ＭＳ ゴシック" w:hAnsi="ＭＳ ゴシック"/>
                <w:sz w:val="18"/>
                <w:szCs w:val="18"/>
              </w:rPr>
            </w:pPr>
          </w:p>
        </w:tc>
        <w:tc>
          <w:tcPr>
            <w:tcW w:w="5040" w:type="dxa"/>
            <w:vAlign w:val="center"/>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府の発意により行う施設・設備</w:t>
            </w:r>
            <w:r>
              <w:rPr>
                <w:rFonts w:ascii="ＭＳ ゴシック" w:eastAsia="ＭＳ ゴシック" w:hAnsi="ＭＳ ゴシック" w:hint="eastAsia"/>
                <w:sz w:val="16"/>
                <w:szCs w:val="16"/>
              </w:rPr>
              <w:t>の改修</w:t>
            </w:r>
          </w:p>
        </w:tc>
        <w:tc>
          <w:tcPr>
            <w:tcW w:w="616" w:type="dxa"/>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c>
          <w:tcPr>
            <w:tcW w:w="778" w:type="dxa"/>
            <w:vAlign w:val="center"/>
          </w:tcPr>
          <w:p w:rsidR="001431C0" w:rsidRPr="00164A06" w:rsidRDefault="001431C0" w:rsidP="000C5DF7">
            <w:pPr>
              <w:jc w:val="center"/>
              <w:rPr>
                <w:rFonts w:ascii="ＭＳ ゴシック" w:eastAsia="ＭＳ ゴシック" w:hAnsi="ＭＳ ゴシック"/>
                <w:sz w:val="18"/>
                <w:szCs w:val="18"/>
              </w:rPr>
            </w:pPr>
          </w:p>
        </w:tc>
      </w:tr>
      <w:tr w:rsidR="001431C0" w:rsidRPr="00164A06" w:rsidTr="001431C0">
        <w:trPr>
          <w:cantSplit/>
          <w:trHeight w:val="166"/>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Merge/>
            <w:vAlign w:val="center"/>
          </w:tcPr>
          <w:p w:rsidR="001431C0" w:rsidRPr="00164A06" w:rsidRDefault="001431C0" w:rsidP="000C5DF7">
            <w:pPr>
              <w:rPr>
                <w:rFonts w:ascii="ＭＳ ゴシック" w:eastAsia="ＭＳ ゴシック" w:hAnsi="ＭＳ ゴシック"/>
                <w:sz w:val="18"/>
                <w:szCs w:val="18"/>
              </w:rPr>
            </w:pPr>
          </w:p>
        </w:tc>
        <w:tc>
          <w:tcPr>
            <w:tcW w:w="5040" w:type="dxa"/>
            <w:vAlign w:val="center"/>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施設・設備・外構の保守点検（法定点検及び日常の維持補修含む）</w:t>
            </w:r>
          </w:p>
        </w:tc>
        <w:tc>
          <w:tcPr>
            <w:tcW w:w="616" w:type="dxa"/>
            <w:vAlign w:val="center"/>
          </w:tcPr>
          <w:p w:rsidR="001431C0" w:rsidRPr="00164A06" w:rsidRDefault="001431C0" w:rsidP="000C5DF7">
            <w:pPr>
              <w:rPr>
                <w:rFonts w:ascii="ＭＳ ゴシック" w:eastAsia="ＭＳ ゴシック" w:hAnsi="ＭＳ ゴシック"/>
                <w:sz w:val="18"/>
                <w:szCs w:val="18"/>
              </w:rPr>
            </w:pPr>
          </w:p>
        </w:tc>
        <w:tc>
          <w:tcPr>
            <w:tcW w:w="778" w:type="dxa"/>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cantSplit/>
          <w:trHeight w:val="281"/>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Merge/>
            <w:vAlign w:val="center"/>
          </w:tcPr>
          <w:p w:rsidR="001431C0" w:rsidRPr="00164A06" w:rsidRDefault="001431C0" w:rsidP="000C5DF7">
            <w:pPr>
              <w:rPr>
                <w:rFonts w:ascii="ＭＳ ゴシック" w:eastAsia="ＭＳ ゴシック" w:hAnsi="ＭＳ ゴシック"/>
                <w:sz w:val="18"/>
                <w:szCs w:val="18"/>
              </w:rPr>
            </w:pPr>
          </w:p>
        </w:tc>
        <w:tc>
          <w:tcPr>
            <w:tcW w:w="5040" w:type="dxa"/>
            <w:vAlign w:val="center"/>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施設・設備・外構の経年劣化による維持補修</w:t>
            </w:r>
          </w:p>
        </w:tc>
        <w:tc>
          <w:tcPr>
            <w:tcW w:w="616" w:type="dxa"/>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c>
          <w:tcPr>
            <w:tcW w:w="778" w:type="dxa"/>
            <w:vAlign w:val="center"/>
          </w:tcPr>
          <w:p w:rsidR="001431C0" w:rsidRPr="00164A06" w:rsidRDefault="001431C0" w:rsidP="000C5DF7">
            <w:pPr>
              <w:jc w:val="center"/>
              <w:rPr>
                <w:rFonts w:ascii="ＭＳ ゴシック" w:eastAsia="ＭＳ ゴシック" w:hAnsi="ＭＳ ゴシック"/>
                <w:sz w:val="18"/>
                <w:szCs w:val="18"/>
              </w:rPr>
            </w:pPr>
          </w:p>
        </w:tc>
      </w:tr>
      <w:tr w:rsidR="001431C0" w:rsidRPr="00164A06" w:rsidTr="001431C0">
        <w:trPr>
          <w:cantSplit/>
          <w:trHeight w:val="315"/>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Merge/>
            <w:vAlign w:val="center"/>
          </w:tcPr>
          <w:p w:rsidR="001431C0" w:rsidRPr="00164A06" w:rsidRDefault="001431C0" w:rsidP="000C5DF7">
            <w:pPr>
              <w:rPr>
                <w:rFonts w:ascii="ＭＳ ゴシック" w:eastAsia="ＭＳ ゴシック" w:hAnsi="ＭＳ ゴシック"/>
                <w:sz w:val="18"/>
                <w:szCs w:val="18"/>
              </w:rPr>
            </w:pPr>
          </w:p>
        </w:tc>
        <w:tc>
          <w:tcPr>
            <w:tcW w:w="5040" w:type="dxa"/>
            <w:vAlign w:val="center"/>
          </w:tcPr>
          <w:p w:rsidR="001431C0" w:rsidRPr="00164A06" w:rsidRDefault="001431C0" w:rsidP="000C5DF7">
            <w:pPr>
              <w:rPr>
                <w:rFonts w:ascii="ＭＳ ゴシック" w:eastAsia="ＭＳ ゴシック" w:hAnsi="ＭＳ ゴシック"/>
                <w:sz w:val="16"/>
                <w:szCs w:val="16"/>
              </w:rPr>
            </w:pPr>
            <w:r>
              <w:rPr>
                <w:rFonts w:ascii="ＭＳ ゴシック" w:eastAsia="ＭＳ ゴシック" w:hAnsi="ＭＳ ゴシック" w:hint="eastAsia"/>
                <w:sz w:val="16"/>
                <w:szCs w:val="16"/>
              </w:rPr>
              <w:t>指定管理者の帰責事由による損傷の補修</w:t>
            </w:r>
          </w:p>
        </w:tc>
        <w:tc>
          <w:tcPr>
            <w:tcW w:w="616" w:type="dxa"/>
            <w:vAlign w:val="center"/>
          </w:tcPr>
          <w:p w:rsidR="001431C0" w:rsidRPr="00164A06" w:rsidRDefault="001431C0" w:rsidP="000C5DF7">
            <w:pPr>
              <w:rPr>
                <w:rFonts w:ascii="ＭＳ ゴシック" w:eastAsia="ＭＳ ゴシック" w:hAnsi="ＭＳ ゴシック"/>
                <w:sz w:val="18"/>
                <w:szCs w:val="18"/>
              </w:rPr>
            </w:pPr>
          </w:p>
        </w:tc>
        <w:tc>
          <w:tcPr>
            <w:tcW w:w="778" w:type="dxa"/>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cantSplit/>
          <w:trHeight w:val="88"/>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Merge/>
            <w:vAlign w:val="center"/>
          </w:tcPr>
          <w:p w:rsidR="001431C0" w:rsidRPr="00164A06" w:rsidRDefault="001431C0" w:rsidP="000C5DF7">
            <w:pPr>
              <w:rPr>
                <w:rFonts w:ascii="ＭＳ ゴシック" w:eastAsia="ＭＳ ゴシック" w:hAnsi="ＭＳ ゴシック"/>
                <w:sz w:val="18"/>
                <w:szCs w:val="18"/>
              </w:rPr>
            </w:pPr>
          </w:p>
        </w:tc>
        <w:tc>
          <w:tcPr>
            <w:tcW w:w="5040" w:type="dxa"/>
            <w:vAlign w:val="center"/>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事故・火災による施設・設備・外構の維持補修</w:t>
            </w:r>
          </w:p>
        </w:tc>
        <w:tc>
          <w:tcPr>
            <w:tcW w:w="616" w:type="dxa"/>
            <w:vAlign w:val="center"/>
          </w:tcPr>
          <w:p w:rsidR="001431C0" w:rsidRPr="00164A06" w:rsidRDefault="001431C0" w:rsidP="000C5DF7">
            <w:pPr>
              <w:rPr>
                <w:rFonts w:ascii="ＭＳ ゴシック" w:eastAsia="ＭＳ ゴシック" w:hAnsi="ＭＳ ゴシック"/>
                <w:sz w:val="18"/>
                <w:szCs w:val="18"/>
              </w:rPr>
            </w:pPr>
          </w:p>
        </w:tc>
        <w:tc>
          <w:tcPr>
            <w:tcW w:w="778" w:type="dxa"/>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cantSplit/>
          <w:trHeight w:val="315"/>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Merge/>
            <w:vAlign w:val="center"/>
          </w:tcPr>
          <w:p w:rsidR="001431C0" w:rsidRPr="00164A06" w:rsidRDefault="001431C0" w:rsidP="000C5DF7">
            <w:pPr>
              <w:rPr>
                <w:rFonts w:ascii="ＭＳ ゴシック" w:eastAsia="ＭＳ ゴシック" w:hAnsi="ＭＳ ゴシック"/>
                <w:sz w:val="18"/>
                <w:szCs w:val="18"/>
              </w:rPr>
            </w:pPr>
          </w:p>
        </w:tc>
        <w:tc>
          <w:tcPr>
            <w:tcW w:w="5040" w:type="dxa"/>
            <w:vAlign w:val="center"/>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天災その他不可抗力による施設躯体、設備の損壊復旧</w:t>
            </w:r>
          </w:p>
        </w:tc>
        <w:tc>
          <w:tcPr>
            <w:tcW w:w="1394" w:type="dxa"/>
            <w:gridSpan w:val="2"/>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協議事項</w:t>
            </w:r>
          </w:p>
        </w:tc>
      </w:tr>
      <w:tr w:rsidR="001431C0" w:rsidRPr="00164A06" w:rsidTr="001431C0">
        <w:trPr>
          <w:cantSplit/>
          <w:trHeight w:val="865"/>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Merge/>
            <w:vAlign w:val="center"/>
          </w:tcPr>
          <w:p w:rsidR="001431C0" w:rsidRPr="00164A06" w:rsidRDefault="001431C0" w:rsidP="000C5DF7">
            <w:pPr>
              <w:rPr>
                <w:rFonts w:ascii="ＭＳ ゴシック" w:eastAsia="ＭＳ ゴシック" w:hAnsi="ＭＳ ゴシック"/>
                <w:sz w:val="18"/>
                <w:szCs w:val="18"/>
              </w:rPr>
            </w:pPr>
          </w:p>
        </w:tc>
        <w:tc>
          <w:tcPr>
            <w:tcW w:w="5040" w:type="dxa"/>
            <w:vAlign w:val="center"/>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法令改正により必要となった施設躯体の維持補修（施設利用者の生命身体の安全確保を目的として施設躯体の改修が必要となった場合）</w:t>
            </w:r>
          </w:p>
        </w:tc>
        <w:tc>
          <w:tcPr>
            <w:tcW w:w="616" w:type="dxa"/>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c>
          <w:tcPr>
            <w:tcW w:w="778" w:type="dxa"/>
            <w:vAlign w:val="center"/>
          </w:tcPr>
          <w:p w:rsidR="001431C0" w:rsidRPr="00164A06" w:rsidRDefault="001431C0" w:rsidP="000C5DF7">
            <w:pPr>
              <w:jc w:val="center"/>
              <w:rPr>
                <w:rFonts w:ascii="ＭＳ ゴシック" w:eastAsia="ＭＳ ゴシック" w:hAnsi="ＭＳ ゴシック"/>
                <w:sz w:val="18"/>
                <w:szCs w:val="18"/>
              </w:rPr>
            </w:pPr>
          </w:p>
        </w:tc>
      </w:tr>
      <w:tr w:rsidR="001431C0" w:rsidRPr="00164A06" w:rsidTr="001431C0">
        <w:trPr>
          <w:cantSplit/>
          <w:trHeight w:val="735"/>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Align w:val="center"/>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天災他不可抗力による事業中止等</w:t>
            </w:r>
          </w:p>
        </w:tc>
        <w:tc>
          <w:tcPr>
            <w:tcW w:w="5040" w:type="dxa"/>
            <w:vAlign w:val="center"/>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大規模な災害等による事業中止等</w:t>
            </w:r>
          </w:p>
        </w:tc>
        <w:tc>
          <w:tcPr>
            <w:tcW w:w="1394" w:type="dxa"/>
            <w:gridSpan w:val="2"/>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協議事項</w:t>
            </w:r>
          </w:p>
        </w:tc>
      </w:tr>
      <w:tr w:rsidR="001431C0" w:rsidRPr="00164A06" w:rsidTr="001431C0">
        <w:trPr>
          <w:cantSplit/>
          <w:trHeight w:val="572"/>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Align w:val="center"/>
          </w:tcPr>
          <w:p w:rsidR="001431C0" w:rsidRPr="00164A06" w:rsidRDefault="001431C0" w:rsidP="000C5DF7">
            <w:pP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市場環境の変化</w:t>
            </w:r>
          </w:p>
        </w:tc>
        <w:tc>
          <w:tcPr>
            <w:tcW w:w="5040" w:type="dxa"/>
            <w:vAlign w:val="center"/>
          </w:tcPr>
          <w:p w:rsidR="001431C0" w:rsidRPr="00164A06" w:rsidRDefault="001431C0" w:rsidP="000C5DF7">
            <w:pPr>
              <w:rPr>
                <w:rFonts w:ascii="ＭＳ ゴシック" w:eastAsia="ＭＳ ゴシック" w:hAnsi="ＭＳ ゴシック"/>
                <w:sz w:val="16"/>
                <w:szCs w:val="16"/>
              </w:rPr>
            </w:pPr>
            <w:r w:rsidRPr="00164A06">
              <w:rPr>
                <w:rFonts w:ascii="ＭＳ ゴシック" w:eastAsia="ＭＳ ゴシック" w:hAnsi="ＭＳ ゴシック" w:hint="eastAsia"/>
                <w:sz w:val="16"/>
                <w:szCs w:val="16"/>
              </w:rPr>
              <w:t>利用者の減少、競合施設の増加、需要見込みの誤りその他の事由による経営不振</w:t>
            </w:r>
          </w:p>
        </w:tc>
        <w:tc>
          <w:tcPr>
            <w:tcW w:w="616" w:type="dxa"/>
            <w:vAlign w:val="center"/>
          </w:tcPr>
          <w:p w:rsidR="001431C0" w:rsidRPr="00164A06" w:rsidRDefault="001431C0" w:rsidP="000C5DF7">
            <w:pPr>
              <w:jc w:val="center"/>
              <w:rPr>
                <w:rFonts w:ascii="ＭＳ ゴシック" w:eastAsia="ＭＳ ゴシック" w:hAnsi="ＭＳ ゴシック"/>
                <w:sz w:val="18"/>
                <w:szCs w:val="18"/>
              </w:rPr>
            </w:pPr>
          </w:p>
        </w:tc>
        <w:tc>
          <w:tcPr>
            <w:tcW w:w="778" w:type="dxa"/>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w:t>
            </w:r>
          </w:p>
        </w:tc>
      </w:tr>
      <w:tr w:rsidR="001431C0" w:rsidRPr="00164A06" w:rsidTr="001431C0">
        <w:trPr>
          <w:cantSplit/>
          <w:trHeight w:val="974"/>
        </w:trPr>
        <w:tc>
          <w:tcPr>
            <w:tcW w:w="648" w:type="dxa"/>
            <w:vMerge/>
          </w:tcPr>
          <w:p w:rsidR="001431C0" w:rsidRPr="00164A06" w:rsidRDefault="001431C0" w:rsidP="000C5DF7">
            <w:pPr>
              <w:rPr>
                <w:rFonts w:ascii="ＭＳ ゴシック" w:eastAsia="ＭＳ ゴシック" w:hAnsi="ＭＳ ゴシック"/>
                <w:sz w:val="18"/>
                <w:szCs w:val="18"/>
              </w:rPr>
            </w:pPr>
          </w:p>
        </w:tc>
        <w:tc>
          <w:tcPr>
            <w:tcW w:w="1620" w:type="dxa"/>
            <w:vAlign w:val="center"/>
          </w:tcPr>
          <w:p w:rsidR="001431C0" w:rsidRPr="00164A06" w:rsidRDefault="001431C0" w:rsidP="000C5DF7">
            <w:pP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指定期間中における「公の施設」の</w:t>
            </w:r>
            <w:r>
              <w:rPr>
                <w:rFonts w:ascii="ＭＳ ゴシック" w:eastAsia="ＭＳ ゴシック" w:hAnsi="ＭＳ ゴシック" w:hint="eastAsia"/>
                <w:sz w:val="18"/>
                <w:szCs w:val="18"/>
              </w:rPr>
              <w:t>拡大・縮小</w:t>
            </w:r>
            <w:r w:rsidRPr="00164A06">
              <w:rPr>
                <w:rFonts w:ascii="ＭＳ ゴシック" w:eastAsia="ＭＳ ゴシック" w:hAnsi="ＭＳ ゴシック" w:hint="eastAsia"/>
                <w:sz w:val="18"/>
                <w:szCs w:val="18"/>
              </w:rPr>
              <w:t>等</w:t>
            </w:r>
          </w:p>
        </w:tc>
        <w:tc>
          <w:tcPr>
            <w:tcW w:w="5040" w:type="dxa"/>
            <w:vAlign w:val="center"/>
          </w:tcPr>
          <w:p w:rsidR="001431C0" w:rsidRPr="00164A06" w:rsidRDefault="001431C0" w:rsidP="000C5DF7">
            <w:pPr>
              <w:rPr>
                <w:rFonts w:ascii="ＭＳ ゴシック" w:eastAsia="ＭＳ ゴシック" w:hAnsi="ＭＳ ゴシック"/>
                <w:sz w:val="16"/>
                <w:szCs w:val="16"/>
              </w:rPr>
            </w:pPr>
            <w:r w:rsidRPr="00323F64">
              <w:rPr>
                <w:rFonts w:ascii="ＭＳ ゴシック" w:eastAsia="ＭＳ ゴシック" w:hAnsi="ＭＳ ゴシック" w:hint="eastAsia"/>
                <w:sz w:val="16"/>
                <w:szCs w:val="16"/>
              </w:rPr>
              <w:t>労働センター</w:t>
            </w:r>
            <w:r w:rsidRPr="00164A06">
              <w:rPr>
                <w:rFonts w:ascii="ＭＳ ゴシック" w:eastAsia="ＭＳ ゴシック" w:hAnsi="ＭＳ ゴシック" w:hint="eastAsia"/>
                <w:sz w:val="16"/>
                <w:szCs w:val="16"/>
              </w:rPr>
              <w:t>フロアの一部について、指定期間中において「公の施設」として追加・縮小する可能性があります。この場合、</w:t>
            </w:r>
            <w:r w:rsidRPr="00453289">
              <w:rPr>
                <w:rFonts w:ascii="ＭＳ ゴシック" w:eastAsia="ＭＳ ゴシック" w:hAnsi="ＭＳ ゴシック" w:hint="eastAsia"/>
                <w:sz w:val="16"/>
                <w:szCs w:val="16"/>
              </w:rPr>
              <w:t xml:space="preserve">設計期間や工期を含め、具体的な工事内容が明らかになった段階で、指定管理者と別途協議させていただきます。　</w:t>
            </w:r>
          </w:p>
        </w:tc>
        <w:tc>
          <w:tcPr>
            <w:tcW w:w="1394" w:type="dxa"/>
            <w:gridSpan w:val="2"/>
            <w:vAlign w:val="center"/>
          </w:tcPr>
          <w:p w:rsidR="001431C0" w:rsidRPr="00164A06" w:rsidRDefault="001431C0" w:rsidP="000C5DF7">
            <w:pPr>
              <w:jc w:val="center"/>
              <w:rPr>
                <w:rFonts w:ascii="ＭＳ ゴシック" w:eastAsia="ＭＳ ゴシック" w:hAnsi="ＭＳ ゴシック"/>
                <w:sz w:val="18"/>
                <w:szCs w:val="18"/>
              </w:rPr>
            </w:pPr>
            <w:r w:rsidRPr="00164A06">
              <w:rPr>
                <w:rFonts w:ascii="ＭＳ ゴシック" w:eastAsia="ＭＳ ゴシック" w:hAnsi="ＭＳ ゴシック" w:hint="eastAsia"/>
                <w:sz w:val="18"/>
                <w:szCs w:val="18"/>
              </w:rPr>
              <w:t>協議事項</w:t>
            </w:r>
          </w:p>
        </w:tc>
      </w:tr>
    </w:tbl>
    <w:p w:rsidR="001431C0" w:rsidRPr="001431C0" w:rsidRDefault="001431C0"/>
    <w:sectPr w:rsidR="001431C0" w:rsidRPr="001431C0" w:rsidSect="00F62F3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1" w:right="1701" w:bottom="1701" w:left="1701" w:header="851" w:footer="992" w:gutter="0"/>
      <w:pgNumType w:start="32"/>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1C0" w:rsidRDefault="001431C0" w:rsidP="001431C0">
      <w:r>
        <w:separator/>
      </w:r>
    </w:p>
  </w:endnote>
  <w:endnote w:type="continuationSeparator" w:id="0">
    <w:p w:rsidR="001431C0" w:rsidRDefault="001431C0" w:rsidP="0014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E6" w:rsidRDefault="009318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28396"/>
      <w:docPartObj>
        <w:docPartGallery w:val="Page Numbers (Bottom of Page)"/>
        <w:docPartUnique/>
      </w:docPartObj>
    </w:sdtPr>
    <w:sdtEndPr/>
    <w:sdtContent>
      <w:p w:rsidR="00F62F35" w:rsidRDefault="00F62F35">
        <w:pPr>
          <w:pStyle w:val="a5"/>
          <w:jc w:val="center"/>
        </w:pPr>
        <w:r>
          <w:fldChar w:fldCharType="begin"/>
        </w:r>
        <w:r>
          <w:instrText>PAGE   \* MERGEFORMAT</w:instrText>
        </w:r>
        <w:r>
          <w:fldChar w:fldCharType="separate"/>
        </w:r>
        <w:r w:rsidR="009318E6" w:rsidRPr="009318E6">
          <w:rPr>
            <w:noProof/>
            <w:lang w:val="ja-JP"/>
          </w:rPr>
          <w:t>32</w:t>
        </w:r>
        <w:r>
          <w:fldChar w:fldCharType="end"/>
        </w:r>
      </w:p>
    </w:sdtContent>
  </w:sdt>
  <w:p w:rsidR="00F62F35" w:rsidRDefault="00F62F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E6" w:rsidRDefault="009318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1C0" w:rsidRDefault="001431C0" w:rsidP="001431C0">
      <w:r>
        <w:separator/>
      </w:r>
    </w:p>
  </w:footnote>
  <w:footnote w:type="continuationSeparator" w:id="0">
    <w:p w:rsidR="001431C0" w:rsidRDefault="001431C0" w:rsidP="0014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E6" w:rsidRDefault="009318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E6" w:rsidRDefault="009318E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E6" w:rsidRDefault="009318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24FA"/>
    <w:multiLevelType w:val="hybridMultilevel"/>
    <w:tmpl w:val="E06AFD72"/>
    <w:lvl w:ilvl="0" w:tplc="94E6E410">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71"/>
    <w:rsid w:val="001431C0"/>
    <w:rsid w:val="002E1D91"/>
    <w:rsid w:val="0049415E"/>
    <w:rsid w:val="006D61B7"/>
    <w:rsid w:val="009318E6"/>
    <w:rsid w:val="00BA0371"/>
    <w:rsid w:val="00DB06FF"/>
    <w:rsid w:val="00F62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1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1C0"/>
    <w:pPr>
      <w:tabs>
        <w:tab w:val="center" w:pos="4252"/>
        <w:tab w:val="right" w:pos="8504"/>
      </w:tabs>
      <w:snapToGrid w:val="0"/>
    </w:pPr>
  </w:style>
  <w:style w:type="character" w:customStyle="1" w:styleId="a4">
    <w:name w:val="ヘッダー (文字)"/>
    <w:basedOn w:val="a0"/>
    <w:link w:val="a3"/>
    <w:uiPriority w:val="99"/>
    <w:rsid w:val="001431C0"/>
  </w:style>
  <w:style w:type="paragraph" w:styleId="a5">
    <w:name w:val="footer"/>
    <w:basedOn w:val="a"/>
    <w:link w:val="a6"/>
    <w:uiPriority w:val="99"/>
    <w:unhideWhenUsed/>
    <w:rsid w:val="001431C0"/>
    <w:pPr>
      <w:tabs>
        <w:tab w:val="center" w:pos="4252"/>
        <w:tab w:val="right" w:pos="8504"/>
      </w:tabs>
      <w:snapToGrid w:val="0"/>
    </w:pPr>
  </w:style>
  <w:style w:type="character" w:customStyle="1" w:styleId="a6">
    <w:name w:val="フッター (文字)"/>
    <w:basedOn w:val="a0"/>
    <w:link w:val="a5"/>
    <w:uiPriority w:val="99"/>
    <w:rsid w:val="001431C0"/>
  </w:style>
  <w:style w:type="paragraph" w:styleId="a7">
    <w:name w:val="Balloon Text"/>
    <w:basedOn w:val="a"/>
    <w:link w:val="a8"/>
    <w:semiHidden/>
    <w:rsid w:val="001431C0"/>
    <w:rPr>
      <w:rFonts w:ascii="Arial" w:eastAsia="ＭＳ ゴシック" w:hAnsi="Arial"/>
      <w:sz w:val="18"/>
      <w:szCs w:val="18"/>
    </w:rPr>
  </w:style>
  <w:style w:type="character" w:customStyle="1" w:styleId="a8">
    <w:name w:val="吹き出し (文字)"/>
    <w:basedOn w:val="a0"/>
    <w:link w:val="a7"/>
    <w:semiHidden/>
    <w:rsid w:val="001431C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2023-09-07T07:48:00Z</dcterms:created>
  <dcterms:modified xsi:type="dcterms:W3CDTF">2023-09-07T07:48:00Z</dcterms:modified>
</cp:coreProperties>
</file>