
<file path=[Content_Types].xml><?xml version="1.0" encoding="utf-8"?>
<Types xmlns="http://schemas.openxmlformats.org/package/2006/content-types">
  <Default Extension="png" ContentType="image/png"/>
  <Default Extension="bmp" ContentType="image/bmp"/>
  <Default Extension="svg" ContentType="image/svg+xml"/>
  <Default Extension="rels" ContentType="application/vnd.openxmlformats-package.relationships+xml"/>
  <Default Extension="wmf" ContentType="image/x-wmf"/>
  <Default Extension="emf" ContentType="image/x-emf"/>
  <Default Extension="dib" ContentType="image/dib"/>
  <Default Extension="glb" ContentType="model/gltf.binary"/>
  <Default Extension="xml" ContentType="application/xml"/>
  <Default Extension="wdp" ContentType="image/vnd.ms-photo"/>
  <Default Extension="gif" ContentType="image/gif"/>
  <Default Extension="tiff" ContentType="image/tiff"/>
  <Default Extension="jpg" ContentType="image/jpeg"/>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ゴシック" w:hAnsi="ＭＳ ゴシック" w:eastAsia="ＭＳ ゴシック"/>
          <w:sz w:val="40"/>
        </w:rPr>
      </w:pPr>
    </w:p>
    <w:p>
      <w:pPr>
        <w:pStyle w:val="0"/>
        <w:jc w:val="center"/>
        <w:rPr>
          <w:rFonts w:hint="default" w:ascii="ＭＳ ゴシック" w:hAnsi="ＭＳ ゴシック" w:eastAsia="ＭＳ ゴシック"/>
          <w:sz w:val="40"/>
        </w:rPr>
      </w:pPr>
    </w:p>
    <w:p>
      <w:pPr>
        <w:pStyle w:val="0"/>
        <w:jc w:val="center"/>
        <w:rPr>
          <w:rFonts w:hint="default" w:ascii="ＭＳ ゴシック" w:hAnsi="ＭＳ ゴシック" w:eastAsia="ＭＳ ゴシック"/>
          <w:sz w:val="40"/>
        </w:rPr>
      </w:pPr>
    </w:p>
    <w:p>
      <w:pPr>
        <w:pStyle w:val="0"/>
        <w:jc w:val="center"/>
        <w:rPr>
          <w:rFonts w:hint="default" w:ascii="ＭＳ ゴシック" w:hAnsi="ＭＳ ゴシック" w:eastAsia="ＭＳ ゴシック"/>
          <w:sz w:val="40"/>
        </w:rPr>
      </w:pPr>
    </w:p>
    <w:p>
      <w:pPr>
        <w:pStyle w:val="0"/>
        <w:jc w:val="center"/>
        <w:rPr>
          <w:rFonts w:hint="default" w:ascii="ＭＳ ゴシック" w:hAnsi="ＭＳ ゴシック" w:eastAsia="ＭＳ ゴシック"/>
          <w:sz w:val="40"/>
        </w:rPr>
      </w:pPr>
    </w:p>
    <w:p>
      <w:pPr>
        <w:pStyle w:val="0"/>
        <w:autoSpaceDE w:val="0"/>
        <w:adjustRightInd w:val="0"/>
        <w:jc w:val="center"/>
        <w:rPr>
          <w:rFonts w:hint="default" w:ascii="ＭＳ ゴシック" w:hAnsi="ＭＳ ゴシック" w:eastAsia="ＭＳ ゴシック"/>
          <w:b w:val="1"/>
          <w:kern w:val="0"/>
          <w:sz w:val="44"/>
        </w:rPr>
      </w:pPr>
      <w:r>
        <w:rPr>
          <w:rFonts w:hint="eastAsia" w:ascii="ＭＳ ゴシック" w:hAnsi="ＭＳ ゴシック" w:eastAsia="ＭＳ ゴシック"/>
          <w:b w:val="1"/>
          <w:kern w:val="0"/>
          <w:sz w:val="44"/>
        </w:rPr>
        <w:t>「防災・減災、国土強靱化のための</w:t>
      </w:r>
    </w:p>
    <w:p>
      <w:pPr>
        <w:pStyle w:val="0"/>
        <w:autoSpaceDE w:val="0"/>
        <w:adjustRightInd w:val="0"/>
        <w:jc w:val="center"/>
        <w:rPr>
          <w:rFonts w:hint="default" w:ascii="ＭＳ ゴシック" w:hAnsi="ＭＳ ゴシック" w:eastAsia="ＭＳ ゴシック"/>
          <w:b w:val="1"/>
          <w:kern w:val="0"/>
          <w:sz w:val="44"/>
        </w:rPr>
      </w:pPr>
      <w:r>
        <w:rPr>
          <w:rFonts w:hint="eastAsia" w:ascii="ＭＳ ゴシック" w:hAnsi="ＭＳ ゴシック" w:eastAsia="ＭＳ ゴシック"/>
          <w:b w:val="1"/>
          <w:kern w:val="0"/>
          <w:sz w:val="44"/>
        </w:rPr>
        <w:t>５か年加速化対策」の計画的な</w:t>
      </w:r>
    </w:p>
    <w:p>
      <w:pPr>
        <w:pStyle w:val="0"/>
        <w:autoSpaceDE w:val="0"/>
        <w:adjustRightInd w:val="0"/>
        <w:jc w:val="center"/>
        <w:rPr>
          <w:rFonts w:hint="default" w:ascii="ＭＳ ゴシック" w:hAnsi="ＭＳ ゴシック" w:eastAsia="ＭＳ ゴシック"/>
          <w:b w:val="1"/>
          <w:kern w:val="0"/>
          <w:sz w:val="44"/>
        </w:rPr>
      </w:pPr>
      <w:r>
        <w:rPr>
          <w:rFonts w:hint="eastAsia" w:ascii="ＭＳ ゴシック" w:hAnsi="ＭＳ ゴシック" w:eastAsia="ＭＳ ゴシック"/>
          <w:b w:val="1"/>
          <w:kern w:val="0"/>
          <w:sz w:val="44"/>
        </w:rPr>
        <w:t>推進についての提言</w:t>
      </w:r>
      <w:bookmarkStart w:id="0" w:name="_GoBack"/>
      <w:bookmarkEnd w:id="0"/>
    </w:p>
    <w:p>
      <w:pPr>
        <w:pStyle w:val="0"/>
        <w:spacing w:line="400" w:lineRule="exact"/>
        <w:ind w:right="-811" w:rightChars="-338"/>
        <w:jc w:val="center"/>
        <w:rPr>
          <w:rFonts w:hint="default" w:ascii="ＭＳ ゴシック" w:hAnsi="ＭＳ ゴシック" w:eastAsia="ＭＳ ゴシック"/>
          <w:sz w:val="36"/>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firstLine="3200" w:firstLineChars="800"/>
        <w:rPr>
          <w:rFonts w:hint="default" w:ascii="ＭＳ ゴシック" w:hAnsi="ＭＳ ゴシック" w:eastAsia="ＭＳ ゴシック"/>
          <w:b w:val="1"/>
          <w:sz w:val="40"/>
        </w:rPr>
      </w:pPr>
      <w:r>
        <w:rPr>
          <w:rFonts w:hint="eastAsia" w:ascii="ＭＳ ゴシック" w:hAnsi="ＭＳ ゴシック" w:eastAsia="ＭＳ ゴシック"/>
          <w:b w:val="1"/>
          <w:sz w:val="40"/>
        </w:rPr>
        <w:t>近畿ブロック知事会</w:t>
      </w: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400" w:lineRule="exact"/>
        <w:ind w:right="-811" w:rightChars="-338"/>
        <w:jc w:val="center"/>
        <w:rPr>
          <w:rFonts w:hint="default" w:ascii="ＭＳ ゴシック" w:hAnsi="ＭＳ ゴシック" w:eastAsia="ＭＳ ゴシック"/>
          <w:b w:val="1"/>
          <w:sz w:val="40"/>
        </w:rPr>
      </w:pPr>
    </w:p>
    <w:p>
      <w:pPr>
        <w:pStyle w:val="0"/>
        <w:spacing w:line="600" w:lineRule="exact"/>
        <w:ind w:right="-811" w:rightChars="-338" w:firstLine="3800" w:firstLineChars="950"/>
        <w:rPr>
          <w:rFonts w:hint="default" w:ascii="ＭＳ ゴシック" w:hAnsi="ＭＳ ゴシック" w:eastAsia="ＭＳ ゴシック"/>
          <w:b w:val="1"/>
          <w:sz w:val="40"/>
        </w:rPr>
      </w:pPr>
      <w:r>
        <w:rPr>
          <w:rFonts w:hint="eastAsia" w:ascii="ＭＳ ゴシック" w:hAnsi="ＭＳ ゴシック" w:eastAsia="ＭＳ ゴシック"/>
          <w:b w:val="1"/>
          <w:sz w:val="40"/>
        </w:rPr>
        <w:t>令和５年７月</w:t>
      </w:r>
    </w:p>
    <w:p>
      <w:pPr>
        <w:pStyle w:val="0"/>
        <w:spacing w:line="600" w:lineRule="exact"/>
        <w:jc w:val="center"/>
        <w:rPr>
          <w:rFonts w:hint="default" w:ascii="ＭＳ ゴシック" w:hAnsi="ＭＳ ゴシック" w:eastAsia="ＭＳ ゴシック"/>
          <w:b w:val="1"/>
          <w:sz w:val="40"/>
        </w:rPr>
      </w:pPr>
    </w:p>
    <w:p>
      <w:pPr>
        <w:pStyle w:val="0"/>
        <w:spacing w:line="600" w:lineRule="exact"/>
        <w:jc w:val="center"/>
        <w:rPr>
          <w:rFonts w:hint="default" w:ascii="ＭＳ ゴシック" w:hAnsi="ＭＳ ゴシック" w:eastAsia="ＭＳ ゴシック"/>
          <w:b w:val="1"/>
          <w:sz w:val="40"/>
        </w:rPr>
      </w:pPr>
    </w:p>
    <w:p>
      <w:pPr>
        <w:pStyle w:val="0"/>
        <w:widowControl w:val="1"/>
        <w:jc w:val="left"/>
        <w:rPr>
          <w:rFonts w:hint="eastAsia"/>
          <w:sz w:val="32"/>
        </w:rPr>
      </w:pPr>
      <w:r>
        <w:rPr>
          <w:rFonts w:hint="eastAsia"/>
          <w:sz w:val="32"/>
        </w:rPr>
        <w:br w:type="page"/>
      </w:r>
    </w:p>
    <w:p>
      <w:pPr>
        <w:pStyle w:val="0"/>
        <w:autoSpaceDE w:val="0"/>
        <w:adjustRightInd w:val="0"/>
        <w:jc w:val="center"/>
        <w:rPr>
          <w:rFonts w:hint="default" w:ascii="ＭＳ ゴシック" w:hAnsi="ＭＳ ゴシック" w:eastAsia="ＭＳ ゴシック"/>
          <w:b w:val="1"/>
          <w:kern w:val="0"/>
          <w:sz w:val="32"/>
        </w:rPr>
      </w:pPr>
    </w:p>
    <w:p>
      <w:pPr>
        <w:pStyle w:val="0"/>
        <w:autoSpaceDE w:val="0"/>
        <w:adjustRightInd w:val="0"/>
        <w:jc w:val="center"/>
        <w:rPr>
          <w:rFonts w:hint="default" w:ascii="ＭＳ ゴシック" w:hAnsi="ＭＳ ゴシック" w:eastAsia="ＭＳ ゴシック"/>
          <w:b w:val="1"/>
          <w:kern w:val="0"/>
          <w:sz w:val="32"/>
        </w:rPr>
      </w:pPr>
    </w:p>
    <w:p>
      <w:pPr>
        <w:pStyle w:val="0"/>
        <w:autoSpaceDE w:val="0"/>
        <w:adjustRightInd w:val="0"/>
        <w:jc w:val="center"/>
        <w:rPr>
          <w:rFonts w:hint="default" w:ascii="ＭＳ ゴシック" w:hAnsi="ＭＳ ゴシック" w:eastAsia="ＭＳ ゴシック"/>
          <w:b w:val="1"/>
          <w:kern w:val="0"/>
          <w:sz w:val="32"/>
        </w:rPr>
      </w:pPr>
      <w:r>
        <w:rPr>
          <w:rFonts w:hint="eastAsia" w:ascii="ＭＳ ゴシック" w:hAnsi="ＭＳ ゴシック" w:eastAsia="ＭＳ ゴシック"/>
          <w:b w:val="1"/>
          <w:kern w:val="0"/>
          <w:sz w:val="32"/>
        </w:rPr>
        <w:t>「防災・減災、国土強靱化のための５か年加速化対策」の</w:t>
      </w:r>
    </w:p>
    <w:p>
      <w:pPr>
        <w:pStyle w:val="0"/>
        <w:autoSpaceDE w:val="0"/>
        <w:adjustRightInd w:val="0"/>
        <w:jc w:val="center"/>
        <w:rPr>
          <w:rFonts w:hint="default" w:ascii="ＭＳ 明朝" w:hAnsi="ＭＳ 明朝"/>
          <w:sz w:val="32"/>
        </w:rPr>
      </w:pPr>
      <w:r>
        <w:rPr>
          <w:rFonts w:hint="eastAsia" w:ascii="ＭＳ ゴシック" w:hAnsi="ＭＳ ゴシック" w:eastAsia="ＭＳ ゴシック"/>
          <w:b w:val="1"/>
          <w:kern w:val="0"/>
          <w:sz w:val="32"/>
        </w:rPr>
        <w:t>計画的な推進についての提言</w:t>
      </w:r>
    </w:p>
    <w:p>
      <w:pPr>
        <w:pStyle w:val="15"/>
        <w:spacing w:line="360" w:lineRule="auto"/>
        <w:rPr>
          <w:rFonts w:hint="eastAsia"/>
        </w:rPr>
      </w:pPr>
    </w:p>
    <w:p>
      <w:pPr>
        <w:pStyle w:val="15"/>
        <w:spacing w:line="360" w:lineRule="auto"/>
        <w:rPr>
          <w:rFonts w:hint="eastAsia"/>
        </w:rPr>
      </w:pPr>
    </w:p>
    <w:p>
      <w:pPr>
        <w:pStyle w:val="0"/>
        <w:autoSpaceDE w:val="0"/>
        <w:autoSpaceDN w:val="0"/>
        <w:adjustRightInd w:val="0"/>
        <w:ind w:left="210" w:leftChars="100" w:firstLine="210" w:firstLineChars="100"/>
        <w:jc w:val="left"/>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国においては「防災・減災、国土強靱化のための５か年加速化対策」を決定し、地方においてもこれを活用しながら、ハード・ソフト両面で全力で取り組んでいるところであるが、切迫する巨大地震・津波、気候変動に対応するため、更なる国土強靱化を計画的に推進する必要がある。</w:t>
      </w:r>
    </w:p>
    <w:p>
      <w:pPr>
        <w:pStyle w:val="0"/>
        <w:autoSpaceDE w:val="0"/>
        <w:autoSpaceDN w:val="0"/>
        <w:adjustRightInd w:val="0"/>
        <w:ind w:left="210" w:leftChars="100" w:firstLine="210" w:firstLineChars="100"/>
        <w:jc w:val="left"/>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また、近年、毎年のように大規模自然災害が発生しており、今後も激甚化・頻発化が懸念されるため、災害への「備えから復旧・復興まで」を見据え、「事前復興」の観点を踏まえた対策の強化が急務となっている。</w:t>
      </w:r>
    </w:p>
    <w:p>
      <w:pPr>
        <w:pStyle w:val="0"/>
        <w:autoSpaceDE w:val="0"/>
        <w:autoSpaceDN w:val="0"/>
        <w:adjustRightInd w:val="0"/>
        <w:ind w:left="210" w:leftChars="100" w:firstLine="210" w:firstLineChars="100"/>
        <w:jc w:val="left"/>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「骨太方針</w:t>
      </w:r>
      <w:r>
        <w:rPr>
          <w:rFonts w:hint="eastAsia" w:ascii="ＭＳ 明朝" w:hAnsi="ＭＳ 明朝" w:eastAsia="ＭＳ 明朝"/>
          <w:color w:val="000000" w:themeColor="text1"/>
          <w:kern w:val="0"/>
        </w:rPr>
        <w:t>2020</w:t>
      </w:r>
      <w:r>
        <w:rPr>
          <w:rFonts w:hint="eastAsia" w:ascii="ＭＳ 明朝" w:hAnsi="ＭＳ 明朝" w:eastAsia="ＭＳ 明朝"/>
          <w:color w:val="000000" w:themeColor="text1"/>
          <w:kern w:val="0"/>
        </w:rPr>
        <w:t>」において、初めて「事前復興」が明記されたが、国における事前復興の取組は、未だ十分とは言えず、更なる取組が不可欠である。</w:t>
      </w:r>
    </w:p>
    <w:p>
      <w:pPr>
        <w:pStyle w:val="0"/>
        <w:autoSpaceDE w:val="0"/>
        <w:autoSpaceDN w:val="0"/>
        <w:adjustRightInd w:val="0"/>
        <w:ind w:firstLine="420" w:firstLineChars="200"/>
        <w:jc w:val="left"/>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ついては、次の２点について国へ提言する。</w:t>
      </w:r>
    </w:p>
    <w:p>
      <w:pPr>
        <w:pStyle w:val="0"/>
        <w:rPr>
          <w:rFonts w:hint="eastAsia" w:ascii="ＭＳ 明朝" w:hAnsi="ＭＳ 明朝" w:eastAsia="ＭＳ 明朝"/>
          <w:color w:val="000000" w:themeColor="text1"/>
        </w:rPr>
      </w:pPr>
    </w:p>
    <w:p>
      <w:pPr>
        <w:pStyle w:val="0"/>
        <w:ind w:left="420" w:leftChars="100" w:hanging="210" w:hangingChars="100"/>
        <w:rPr>
          <w:rFonts w:hint="eastAsia" w:ascii="ＭＳ 明朝" w:hAnsi="ＭＳ 明朝" w:eastAsia="ＭＳ 明朝"/>
          <w:color w:val="000000" w:themeColor="text1"/>
        </w:rPr>
      </w:pPr>
      <w:r>
        <w:rPr>
          <w:rFonts w:hint="eastAsia" w:ascii="ＭＳ 明朝" w:hAnsi="ＭＳ 明朝" w:eastAsia="ＭＳ 明朝"/>
          <w:color w:val="000000" w:themeColor="text1"/>
        </w:rPr>
        <w:t>１　「防災・減災、国土強靱化のための５か年加速化対策」については、資材価格が高騰する中でも、必要な予算・財源を例年以上の規模で確保し、計画的に事業を推進するとともに、改正国土強靱化基本法を踏まえ、対策期間完了後においても、中長期的かつ明確な見通しの下、継続的・安定的に国土強靱化を推進できるよう必要な予算・財源を別枠で確保すること。</w:t>
      </w:r>
    </w:p>
    <w:p>
      <w:pPr>
        <w:pStyle w:val="0"/>
        <w:ind w:left="105" w:leftChars="50" w:firstLine="210" w:firstLineChars="100"/>
        <w:rPr>
          <w:rFonts w:hint="eastAsia" w:ascii="ＭＳ 明朝" w:hAnsi="ＭＳ 明朝" w:eastAsia="ＭＳ 明朝"/>
          <w:color w:val="000000" w:themeColor="text1"/>
        </w:rPr>
      </w:pPr>
    </w:p>
    <w:p>
      <w:pPr>
        <w:pStyle w:val="0"/>
        <w:ind w:left="420" w:leftChars="100" w:hanging="210" w:hangingChars="100"/>
        <w:rPr>
          <w:rFonts w:hint="eastAsia" w:ascii="ＭＳ 明朝" w:hAnsi="ＭＳ 明朝" w:eastAsia="ＭＳ 明朝"/>
          <w:color w:val="000000" w:themeColor="text1"/>
        </w:rPr>
      </w:pPr>
      <w:r>
        <w:rPr>
          <w:rFonts w:hint="eastAsia" w:ascii="ＭＳ 明朝" w:hAnsi="ＭＳ 明朝" w:eastAsia="ＭＳ 明朝"/>
          <w:color w:val="000000" w:themeColor="text1"/>
        </w:rPr>
        <w:t>２　迅速かつ円滑な復興を図るため、ソフト・ハード両面の様々な「事前復興」の取組みについて、地域の実情に応じた事前復興を可能とする自由度の高い交付金制度など、新たな財政支援制度を創設するとともに、防災分野の最上位計画である「防災基本計画」等への明確な位置付けや、一元的に推進する組織を国に設置すること。</w:t>
      </w:r>
    </w:p>
    <w:p>
      <w:pPr>
        <w:pStyle w:val="0"/>
        <w:ind w:left="315" w:leftChars="50" w:hanging="210" w:hangingChars="100"/>
        <w:rPr>
          <w:rFonts w:hint="default" w:ascii="ＭＳ 明朝" w:hAnsi="ＭＳ 明朝"/>
          <w:color w:val="000000" w:themeColor="text1"/>
        </w:rPr>
      </w:pPr>
    </w:p>
    <w:p>
      <w:pPr>
        <w:pStyle w:val="0"/>
        <w:ind w:left="315" w:leftChars="50" w:hanging="210" w:hangingChars="100"/>
        <w:rPr>
          <w:rFonts w:hint="default" w:ascii="ＭＳ 明朝" w:hAnsi="ＭＳ 明朝"/>
          <w:color w:val="000000" w:themeColor="text1"/>
        </w:rPr>
      </w:pPr>
    </w:p>
    <w:p>
      <w:pPr>
        <w:pStyle w:val="15"/>
        <w:spacing w:line="360" w:lineRule="auto"/>
        <w:rPr>
          <w:rFonts w:hint="eastAsia"/>
        </w:rPr>
      </w:pPr>
    </w:p>
    <w:p>
      <w:pPr>
        <w:pStyle w:val="0"/>
        <w:ind w:left="0" w:leftChars="0" w:firstLine="480" w:firstLineChars="200"/>
        <w:jc w:val="left"/>
        <w:rPr>
          <w:rFonts w:hint="default" w:asciiTheme="minorEastAsia" w:hAnsiTheme="minorEastAsia"/>
          <w:color w:val="333333"/>
          <w:sz w:val="24"/>
          <w:shd w:val="clear" w:color="auto" w:fill="FFFFFF"/>
        </w:rPr>
      </w:pPr>
      <w:r>
        <w:rPr>
          <w:rFonts w:hint="default" w:asciiTheme="minorEastAsia" w:hAnsiTheme="minorEastAsia"/>
          <w:color w:val="333333"/>
          <w:sz w:val="24"/>
          <w:shd w:val="clear" w:color="auto" w:fill="FFFFFF"/>
        </w:rPr>
        <w:t>令和</w:t>
      </w:r>
      <w:r>
        <w:rPr>
          <w:rFonts w:hint="eastAsia" w:asciiTheme="minorEastAsia" w:hAnsiTheme="minorEastAsia"/>
          <w:color w:val="333333"/>
          <w:sz w:val="24"/>
          <w:shd w:val="clear" w:color="auto" w:fill="FFFFFF"/>
        </w:rPr>
        <w:t>５</w:t>
      </w:r>
      <w:r>
        <w:rPr>
          <w:rFonts w:hint="default" w:asciiTheme="minorEastAsia" w:hAnsiTheme="minorEastAsia"/>
          <w:color w:val="333333"/>
          <w:sz w:val="24"/>
          <w:shd w:val="clear" w:color="auto" w:fill="FFFFFF"/>
        </w:rPr>
        <w:t>年</w:t>
      </w:r>
      <w:r>
        <w:rPr>
          <w:rFonts w:hint="eastAsia" w:asciiTheme="minorEastAsia" w:hAnsiTheme="minorEastAsia"/>
          <w:color w:val="333333"/>
          <w:sz w:val="24"/>
          <w:shd w:val="clear" w:color="auto" w:fill="FFFFFF"/>
        </w:rPr>
        <w:t>７</w:t>
      </w:r>
      <w:r>
        <w:rPr>
          <w:rFonts w:hint="default" w:asciiTheme="minorEastAsia" w:hAnsiTheme="minorEastAsia"/>
          <w:color w:val="333333"/>
          <w:sz w:val="24"/>
          <w:shd w:val="clear" w:color="auto" w:fill="FFFFFF"/>
        </w:rPr>
        <w:t>月</w:t>
      </w:r>
    </w:p>
    <w:p>
      <w:pPr>
        <w:pStyle w:val="0"/>
        <w:jc w:val="center"/>
        <w:rPr>
          <w:rFonts w:hint="default" w:asciiTheme="minorEastAsia" w:hAnsiTheme="minorEastAsia"/>
          <w:color w:val="333333"/>
          <w:sz w:val="24"/>
          <w:shd w:val="clear" w:color="auto" w:fill="FFFFFF"/>
        </w:rPr>
      </w:pPr>
    </w:p>
    <w:p>
      <w:pPr>
        <w:pStyle w:val="0"/>
        <w:jc w:val="left"/>
        <w:rPr>
          <w:rFonts w:hint="default" w:asciiTheme="minorEastAsia" w:hAnsiTheme="minorEastAsia"/>
          <w:color w:val="333333"/>
          <w:sz w:val="24"/>
          <w:shd w:val="clear" w:color="auto" w:fill="FFFFFF"/>
        </w:rPr>
      </w:pPr>
      <w:r>
        <w:rPr>
          <w:rFonts w:hint="eastAsia" w:asciiTheme="minorEastAsia" w:hAnsiTheme="minorEastAsia"/>
          <w:color w:val="333333"/>
          <w:sz w:val="24"/>
          <w:shd w:val="clear" w:color="auto" w:fill="FFFFFF"/>
        </w:rPr>
        <w:t>　　　　　　　　　　　　　　　　　近畿ブロック知事会</w:t>
      </w:r>
    </w:p>
    <w:p>
      <w:pPr>
        <w:pStyle w:val="0"/>
        <w:ind w:left="240" w:hanging="240" w:hangingChars="100"/>
        <w:jc w:val="right"/>
        <w:rPr>
          <w:rFonts w:hint="default"/>
          <w:sz w:val="24"/>
        </w:rPr>
      </w:pPr>
      <w:r>
        <w:rPr>
          <w:rFonts w:hint="eastAsia" w:asciiTheme="minorEastAsia" w:hAnsiTheme="minorEastAsia"/>
          <w:color w:val="333333"/>
          <w:sz w:val="24"/>
          <w:shd w:val="clear" w:color="auto" w:fill="FFFFFF"/>
        </w:rPr>
        <w:t>　　</w:t>
      </w:r>
      <w:r>
        <w:rPr>
          <w:rFonts w:hint="eastAsia"/>
          <w:sz w:val="24"/>
        </w:rPr>
        <w:t>福井県知事　　　杉　本　達　治</w:t>
      </w:r>
    </w:p>
    <w:p>
      <w:pPr>
        <w:pStyle w:val="0"/>
        <w:ind w:left="240" w:hanging="240" w:hangingChars="100"/>
        <w:jc w:val="right"/>
        <w:rPr>
          <w:rFonts w:hint="default"/>
          <w:sz w:val="24"/>
        </w:rPr>
      </w:pPr>
      <w:r>
        <w:rPr>
          <w:rFonts w:hint="eastAsia"/>
          <w:sz w:val="24"/>
        </w:rPr>
        <w:t>三重県知事　　　一　見　勝　之</w:t>
      </w:r>
    </w:p>
    <w:p>
      <w:pPr>
        <w:pStyle w:val="0"/>
        <w:ind w:left="240" w:hanging="240" w:hangingChars="100"/>
        <w:jc w:val="right"/>
        <w:rPr>
          <w:rFonts w:hint="default"/>
          <w:sz w:val="24"/>
        </w:rPr>
      </w:pPr>
      <w:r>
        <w:rPr>
          <w:rFonts w:hint="eastAsia"/>
          <w:sz w:val="24"/>
        </w:rPr>
        <w:t>滋賀県知事　　　三日月　大　造</w:t>
      </w:r>
    </w:p>
    <w:p>
      <w:pPr>
        <w:pStyle w:val="0"/>
        <w:ind w:left="240" w:hanging="240" w:hangingChars="100"/>
        <w:jc w:val="right"/>
        <w:rPr>
          <w:rFonts w:hint="default"/>
          <w:sz w:val="24"/>
        </w:rPr>
      </w:pPr>
      <w:r>
        <w:rPr>
          <w:rFonts w:hint="eastAsia"/>
          <w:sz w:val="24"/>
        </w:rPr>
        <w:t>京都府知事　　　西　脇　隆　俊</w:t>
      </w:r>
    </w:p>
    <w:p>
      <w:pPr>
        <w:pStyle w:val="0"/>
        <w:ind w:left="240" w:hanging="240" w:hangingChars="100"/>
        <w:jc w:val="right"/>
        <w:rPr>
          <w:rFonts w:hint="default"/>
          <w:sz w:val="24"/>
        </w:rPr>
      </w:pPr>
      <w:r>
        <w:rPr>
          <w:rFonts w:hint="eastAsia"/>
          <w:sz w:val="24"/>
        </w:rPr>
        <w:t>大阪府知事　　　吉　村　洋　文</w:t>
      </w:r>
    </w:p>
    <w:p>
      <w:pPr>
        <w:pStyle w:val="0"/>
        <w:wordWrap w:val="0"/>
        <w:ind w:left="240" w:hanging="240" w:hangingChars="100"/>
        <w:jc w:val="right"/>
        <w:rPr>
          <w:rFonts w:hint="default"/>
          <w:sz w:val="24"/>
        </w:rPr>
      </w:pPr>
      <w:r>
        <w:rPr>
          <w:rFonts w:hint="eastAsia"/>
          <w:sz w:val="24"/>
        </w:rPr>
        <w:t>兵庫県知事　　　齋　藤　元　彦</w:t>
      </w:r>
    </w:p>
    <w:p>
      <w:pPr>
        <w:pStyle w:val="0"/>
        <w:ind w:left="240" w:right="240" w:hanging="240" w:hangingChars="100"/>
        <w:jc w:val="right"/>
        <w:rPr>
          <w:rFonts w:hint="default"/>
          <w:sz w:val="24"/>
        </w:rPr>
      </w:pPr>
      <w:r>
        <w:rPr>
          <w:rFonts w:hint="eastAsia"/>
          <w:sz w:val="24"/>
        </w:rPr>
        <w:t>奈良県知事　　　山　下　　真　</w:t>
      </w:r>
    </w:p>
    <w:p>
      <w:pPr>
        <w:pStyle w:val="0"/>
        <w:ind w:left="240" w:hanging="240" w:hangingChars="100"/>
        <w:jc w:val="right"/>
        <w:rPr>
          <w:rFonts w:hint="default"/>
          <w:sz w:val="24"/>
        </w:rPr>
      </w:pPr>
      <w:r>
        <w:rPr>
          <w:rFonts w:hint="eastAsia"/>
          <w:sz w:val="24"/>
        </w:rPr>
        <w:t>和歌山県知事　　岸　本　周　平</w:t>
      </w:r>
    </w:p>
    <w:p>
      <w:pPr>
        <w:pStyle w:val="0"/>
        <w:wordWrap w:val="0"/>
        <w:ind w:left="240" w:hanging="240" w:hangingChars="100"/>
        <w:jc w:val="right"/>
        <w:rPr>
          <w:rFonts w:hint="default"/>
          <w:sz w:val="24"/>
        </w:rPr>
      </w:pPr>
      <w:r>
        <w:rPr>
          <w:rFonts w:hint="eastAsia"/>
          <w:sz w:val="24"/>
        </w:rPr>
        <w:t>鳥取県知事　　　平　井　伸　治</w:t>
      </w:r>
    </w:p>
    <w:p>
      <w:pPr>
        <w:pStyle w:val="0"/>
        <w:ind w:left="240" w:hanging="240" w:hangingChars="100"/>
        <w:jc w:val="right"/>
        <w:rPr>
          <w:rFonts w:hint="default"/>
          <w:sz w:val="24"/>
        </w:rPr>
      </w:pPr>
      <w:r>
        <w:rPr>
          <w:rFonts w:hint="eastAsia"/>
          <w:sz w:val="24"/>
        </w:rPr>
        <w:t>徳島県知事　　　後藤田　正　純</w:t>
      </w:r>
    </w:p>
    <w:p>
      <w:pPr>
        <w:pStyle w:val="0"/>
        <w:ind w:left="360" w:leftChars="50" w:hanging="240" w:hangingChars="100"/>
        <w:rPr>
          <w:rFonts w:hint="eastAsia"/>
        </w:rPr>
      </w:pPr>
    </w:p>
    <w:sectPr>
      <w:pgSz w:w="11906" w:h="16838"/>
      <w:pgMar w:top="1134" w:right="964" w:bottom="1134" w:left="1304"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Liberation Serif">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Liberation Sans">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ペン楷書体L">
    <w:panose1 w:val="00000000000000000000"/>
    <w:charset w:val="80"/>
    <w:family w:val="script"/>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709"/>
  <w:autoHyphen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Liberation Serif" w:hAnsi="Liberation Serif" w:eastAsia="ＭＳ 明朝"/>
        <w:kern w:val="3"/>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Standard"/>
    <w:next w:val="15"/>
    <w:link w:val="0"/>
    <w:uiPriority w:val="0"/>
    <w:rPr/>
  </w:style>
  <w:style w:type="paragraph" w:styleId="16" w:customStyle="1">
    <w:name w:val="Heading"/>
    <w:basedOn w:val="15"/>
    <w:next w:val="17"/>
    <w:link w:val="0"/>
    <w:uiPriority w:val="0"/>
    <w:pPr>
      <w:keepNext w:val="1"/>
      <w:spacing w:before="240" w:beforeLines="0" w:beforeAutospacing="0" w:after="120" w:afterLines="0" w:afterAutospacing="0"/>
    </w:pPr>
    <w:rPr>
      <w:rFonts w:ascii="Liberation Sans" w:hAnsi="Liberation Sans" w:eastAsia="ＭＳ ゴシック"/>
      <w:sz w:val="28"/>
    </w:rPr>
  </w:style>
  <w:style w:type="paragraph" w:styleId="17" w:customStyle="1">
    <w:name w:val="Text body"/>
    <w:basedOn w:val="15"/>
    <w:next w:val="17"/>
    <w:link w:val="0"/>
    <w:uiPriority w:val="0"/>
    <w:pPr>
      <w:spacing w:after="140" w:afterLines="0" w:afterAutospacing="0" w:line="276" w:lineRule="auto"/>
    </w:pPr>
  </w:style>
  <w:style w:type="paragraph" w:styleId="18">
    <w:name w:val="List"/>
    <w:basedOn w:val="17"/>
    <w:next w:val="18"/>
    <w:link w:val="0"/>
    <w:uiPriority w:val="0"/>
  </w:style>
  <w:style w:type="paragraph" w:styleId="19">
    <w:name w:val="caption"/>
    <w:basedOn w:val="15"/>
    <w:next w:val="19"/>
    <w:link w:val="0"/>
    <w:uiPriority w:val="0"/>
    <w:semiHidden/>
    <w:pPr>
      <w:suppressLineNumbers w:val="1"/>
      <w:spacing w:before="120" w:beforeLines="0" w:beforeAutospacing="0" w:after="120" w:afterLines="0" w:afterAutospacing="0"/>
    </w:pPr>
    <w:rPr>
      <w:i w:val="1"/>
    </w:rPr>
  </w:style>
  <w:style w:type="paragraph" w:styleId="20" w:customStyle="1">
    <w:name w:val="Index"/>
    <w:basedOn w:val="15"/>
    <w:next w:val="20"/>
    <w:link w:val="0"/>
    <w:uiPriority w:val="0"/>
    <w:pPr>
      <w:suppressLineNumbers w:val="1"/>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fontTable" Target="fontTable.xml"/><Relationship Id="rId6" Type="http://schemas.openxmlformats.org/officeDocument/2006/relationships/customXml" Target="../customXml/item1.xml"/><Relationship Id="rId5" Type="http://schemas.microsoft.com/office/2011/relationships/commentsExtended" Target="commentsExtended.xml"/><Relationship Id="rId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8C1FA-2F43-450C-A36A-503190CB5A89}"/>
</file>

<file path=customXml/itemProps2.xml><?xml version="1.0" encoding="utf-8"?>
<ds:datastoreItem xmlns:ds="http://schemas.openxmlformats.org/officeDocument/2006/customXml" ds:itemID="{C74A4B8B-1443-4534-996E-EF4427B96664}"/>
</file>

<file path=customXml/itemProps3.xml><?xml version="1.0" encoding="utf-8"?>
<ds:datastoreItem xmlns:ds="http://schemas.openxmlformats.org/officeDocument/2006/customXml" ds:itemID="{07491FA4-B454-48C6-811F-F61C4A81EEDC}"/>
</file>

<file path=docProps/app.xml><?xml version="1.0" encoding="utf-8"?>
<Properties xmlns:vt="http://schemas.openxmlformats.org/officeDocument/2006/docPropsVTypes" xmlns="http://schemas.openxmlformats.org/officeDocument/2006/extended-properties">
  <Template>Normal.dot</Template>
  <TotalTime>417</TotalTime>
  <Pages>2</Pages>
  <Words>1</Words>
  <Characters>839</Characters>
  <Application>JUST Note</Application>
  <Lines>75</Lines>
  <Paragraphs>25</Paragraphs>
  <Company>mieken</Company>
  <CharactersWithSpaces>918</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康成</dc:creator>
  <cp:lastModifiedBy>原口 万穂</cp:lastModifiedBy>
  <cp:revision>48</cp:revision>
  <cp:lastPrinted>2022-06-21T04:13:00Z</cp:lastPrinted>
  <dcterms:created xsi:type="dcterms:W3CDTF">2020-05-16T00:13:00Z</dcterms:created>
  <dcterms:modified xsi:type="dcterms:W3CDTF">2023-07-21T09:14:50Z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