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C555" w14:textId="77777777" w:rsidR="006423B7" w:rsidRPr="006F6EE0" w:rsidRDefault="006423B7" w:rsidP="004217B8">
      <w:pPr>
        <w:jc w:val="center"/>
        <w:rPr>
          <w:rFonts w:ascii="ＭＳ ゴシック" w:eastAsia="ＭＳ ゴシック" w:hAnsi="ＭＳ ゴシック"/>
          <w:color w:val="000000" w:themeColor="text1"/>
          <w:sz w:val="40"/>
          <w:szCs w:val="40"/>
        </w:rPr>
      </w:pPr>
    </w:p>
    <w:p w14:paraId="6F864157" w14:textId="77777777" w:rsidR="002377B7" w:rsidRPr="006F6EE0" w:rsidRDefault="002377B7" w:rsidP="004217B8">
      <w:pPr>
        <w:jc w:val="center"/>
        <w:rPr>
          <w:rFonts w:asciiTheme="majorEastAsia" w:eastAsiaTheme="majorEastAsia" w:hAnsiTheme="majorEastAsia"/>
          <w:color w:val="000000" w:themeColor="text1"/>
          <w:sz w:val="40"/>
          <w:szCs w:val="40"/>
        </w:rPr>
      </w:pPr>
    </w:p>
    <w:p w14:paraId="0C85A35D" w14:textId="77777777" w:rsidR="004217B8" w:rsidRPr="006F6EE0" w:rsidRDefault="004217B8" w:rsidP="004217B8">
      <w:pPr>
        <w:jc w:val="center"/>
        <w:rPr>
          <w:rFonts w:asciiTheme="majorEastAsia" w:eastAsiaTheme="majorEastAsia" w:hAnsiTheme="majorEastAsia"/>
          <w:color w:val="000000" w:themeColor="text1"/>
          <w:sz w:val="40"/>
          <w:szCs w:val="40"/>
        </w:rPr>
      </w:pPr>
    </w:p>
    <w:p w14:paraId="7F080206" w14:textId="77777777" w:rsidR="008A5912" w:rsidRDefault="000D1A95" w:rsidP="004217B8">
      <w:pPr>
        <w:jc w:val="center"/>
        <w:rPr>
          <w:rFonts w:asciiTheme="majorEastAsia" w:eastAsiaTheme="majorEastAsia" w:hAnsiTheme="majorEastAsia"/>
          <w:b/>
          <w:color w:val="000000" w:themeColor="text1"/>
          <w:sz w:val="44"/>
          <w:szCs w:val="40"/>
        </w:rPr>
      </w:pPr>
      <w:r w:rsidRPr="006F6EE0">
        <w:rPr>
          <w:rFonts w:asciiTheme="majorEastAsia" w:eastAsiaTheme="majorEastAsia" w:hAnsiTheme="majorEastAsia" w:hint="eastAsia"/>
          <w:b/>
          <w:color w:val="000000" w:themeColor="text1"/>
          <w:sz w:val="44"/>
          <w:szCs w:val="40"/>
        </w:rPr>
        <w:t>製造業等における外国人材の</w:t>
      </w:r>
    </w:p>
    <w:p w14:paraId="05B8314E" w14:textId="363A8B8A" w:rsidR="002377B7" w:rsidRPr="006F6EE0" w:rsidRDefault="000D1A95" w:rsidP="004217B8">
      <w:pPr>
        <w:jc w:val="center"/>
        <w:rPr>
          <w:rFonts w:ascii="Generic0-Regular" w:eastAsia="Generic0-Regular" w:hAnsi="ＭＳ ゴシック"/>
          <w:b/>
          <w:color w:val="000000" w:themeColor="text1"/>
          <w:sz w:val="44"/>
          <w:szCs w:val="40"/>
        </w:rPr>
      </w:pPr>
      <w:r w:rsidRPr="006F6EE0">
        <w:rPr>
          <w:rFonts w:asciiTheme="majorEastAsia" w:eastAsiaTheme="majorEastAsia" w:hAnsiTheme="majorEastAsia" w:hint="eastAsia"/>
          <w:b/>
          <w:color w:val="000000" w:themeColor="text1"/>
          <w:sz w:val="44"/>
          <w:szCs w:val="40"/>
        </w:rPr>
        <w:t>受入拡大に関する</w:t>
      </w:r>
      <w:r w:rsidR="000B4360" w:rsidRPr="006F6EE0">
        <w:rPr>
          <w:rFonts w:asciiTheme="majorEastAsia" w:eastAsiaTheme="majorEastAsia" w:hAnsiTheme="majorEastAsia" w:hint="eastAsia"/>
          <w:b/>
          <w:color w:val="000000" w:themeColor="text1"/>
          <w:sz w:val="44"/>
          <w:szCs w:val="40"/>
        </w:rPr>
        <w:t>提言</w:t>
      </w:r>
    </w:p>
    <w:p w14:paraId="06483636" w14:textId="77777777" w:rsidR="002377B7" w:rsidRPr="006F6EE0" w:rsidRDefault="002377B7" w:rsidP="004217B8">
      <w:pPr>
        <w:jc w:val="center"/>
        <w:rPr>
          <w:rFonts w:ascii="ＭＳ ゴシック" w:eastAsia="ＭＳ ゴシック" w:hAnsi="ＭＳ ゴシック"/>
          <w:b/>
          <w:color w:val="000000" w:themeColor="text1"/>
          <w:sz w:val="40"/>
          <w:szCs w:val="40"/>
        </w:rPr>
      </w:pPr>
    </w:p>
    <w:p w14:paraId="1B5463ED"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0F8A3851"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49F3E43"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2C246B14"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0C2CB6D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A6ED7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95500E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D1198AE"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371B2C8B" w14:textId="77777777" w:rsidR="00F63AFA" w:rsidRPr="006F6EE0" w:rsidRDefault="00F63AFA" w:rsidP="004217B8">
      <w:pPr>
        <w:spacing w:line="400" w:lineRule="exact"/>
        <w:rPr>
          <w:rFonts w:ascii="ＭＳ ゴシック" w:eastAsia="ＭＳ ゴシック" w:hAnsi="ＭＳ ゴシック"/>
          <w:b/>
          <w:color w:val="000000" w:themeColor="text1"/>
          <w:sz w:val="40"/>
          <w:szCs w:val="40"/>
        </w:rPr>
      </w:pPr>
    </w:p>
    <w:p w14:paraId="2888A877" w14:textId="77777777" w:rsidR="004217B8" w:rsidRPr="006F6EE0" w:rsidRDefault="004217B8" w:rsidP="004217B8">
      <w:pPr>
        <w:spacing w:line="400" w:lineRule="exact"/>
        <w:rPr>
          <w:rFonts w:ascii="ＭＳ ゴシック" w:eastAsia="ＭＳ ゴシック" w:hAnsi="ＭＳ ゴシック"/>
          <w:b/>
          <w:color w:val="000000" w:themeColor="text1"/>
          <w:sz w:val="40"/>
          <w:szCs w:val="40"/>
        </w:rPr>
      </w:pPr>
    </w:p>
    <w:p w14:paraId="1DB39A26"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0E2D712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0059EA3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147AF0B0"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B7045F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2D38D527"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7855FC9A" w14:textId="77777777" w:rsidR="004217B8" w:rsidRPr="006F6EE0" w:rsidRDefault="004217B8" w:rsidP="002377B7">
      <w:pPr>
        <w:spacing w:line="400" w:lineRule="exact"/>
        <w:jc w:val="center"/>
        <w:rPr>
          <w:rFonts w:ascii="ＭＳ ゴシック" w:eastAsia="ＭＳ ゴシック" w:hAnsi="ＭＳ ゴシック"/>
          <w:b/>
          <w:color w:val="000000" w:themeColor="text1"/>
          <w:sz w:val="40"/>
          <w:szCs w:val="40"/>
        </w:rPr>
      </w:pPr>
    </w:p>
    <w:p w14:paraId="15C88C1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9B24636"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近畿ブロック知事会</w:t>
      </w:r>
    </w:p>
    <w:p w14:paraId="573C5DE2" w14:textId="77777777" w:rsidR="002377B7" w:rsidRPr="006F6EE0" w:rsidRDefault="002377B7" w:rsidP="002377B7">
      <w:pPr>
        <w:spacing w:line="400" w:lineRule="exact"/>
        <w:jc w:val="center"/>
        <w:rPr>
          <w:rFonts w:ascii="ＭＳ ゴシック" w:eastAsia="ＭＳ ゴシック" w:hAnsi="ＭＳ ゴシック"/>
          <w:b/>
          <w:color w:val="000000" w:themeColor="text1"/>
          <w:sz w:val="40"/>
          <w:szCs w:val="40"/>
        </w:rPr>
      </w:pPr>
    </w:p>
    <w:p w14:paraId="41EA7FE4" w14:textId="77777777" w:rsidR="00F63AFA" w:rsidRPr="006F6EE0" w:rsidRDefault="00F63AFA" w:rsidP="002377B7">
      <w:pPr>
        <w:spacing w:line="400" w:lineRule="exact"/>
        <w:jc w:val="center"/>
        <w:rPr>
          <w:rFonts w:ascii="ＭＳ ゴシック" w:eastAsia="ＭＳ ゴシック" w:hAnsi="ＭＳ ゴシック"/>
          <w:b/>
          <w:color w:val="000000" w:themeColor="text1"/>
          <w:sz w:val="40"/>
          <w:szCs w:val="40"/>
        </w:rPr>
      </w:pPr>
    </w:p>
    <w:p w14:paraId="5C393108" w14:textId="11AC05D9" w:rsidR="002377B7" w:rsidRPr="006F6EE0" w:rsidRDefault="009F0387" w:rsidP="002377B7">
      <w:pPr>
        <w:spacing w:line="600" w:lineRule="exact"/>
        <w:jc w:val="center"/>
        <w:rPr>
          <w:rFonts w:ascii="ＭＳ ゴシック" w:eastAsia="ＭＳ ゴシック" w:hAnsi="ＭＳ ゴシック"/>
          <w:b/>
          <w:color w:val="000000" w:themeColor="text1"/>
          <w:sz w:val="40"/>
          <w:szCs w:val="40"/>
        </w:rPr>
      </w:pPr>
      <w:r w:rsidRPr="006F6EE0">
        <w:rPr>
          <w:rFonts w:ascii="ＭＳ ゴシック" w:eastAsia="ＭＳ ゴシック" w:hAnsi="ＭＳ ゴシック" w:hint="eastAsia"/>
          <w:b/>
          <w:color w:val="000000" w:themeColor="text1"/>
          <w:sz w:val="40"/>
          <w:szCs w:val="40"/>
        </w:rPr>
        <w:t>令和</w:t>
      </w:r>
      <w:r w:rsidR="00BA0C93">
        <w:rPr>
          <w:rFonts w:ascii="ＭＳ ゴシック" w:eastAsia="ＭＳ ゴシック" w:hAnsi="ＭＳ ゴシック" w:hint="eastAsia"/>
          <w:b/>
          <w:color w:val="000000" w:themeColor="text1"/>
          <w:sz w:val="40"/>
          <w:szCs w:val="40"/>
        </w:rPr>
        <w:t>５</w:t>
      </w:r>
      <w:r w:rsidR="00A153B4" w:rsidRPr="006F6EE0">
        <w:rPr>
          <w:rFonts w:ascii="ＭＳ ゴシック" w:eastAsia="ＭＳ ゴシック" w:hAnsi="ＭＳ ゴシック" w:hint="eastAsia"/>
          <w:b/>
          <w:color w:val="000000" w:themeColor="text1"/>
          <w:sz w:val="40"/>
          <w:szCs w:val="40"/>
        </w:rPr>
        <w:t>年</w:t>
      </w:r>
      <w:r w:rsidR="00BA0C93">
        <w:rPr>
          <w:rFonts w:ascii="ＭＳ ゴシック" w:eastAsia="ＭＳ ゴシック" w:hAnsi="ＭＳ ゴシック" w:hint="eastAsia"/>
          <w:b/>
          <w:color w:val="000000" w:themeColor="text1"/>
          <w:sz w:val="40"/>
          <w:szCs w:val="40"/>
        </w:rPr>
        <w:t>７</w:t>
      </w:r>
      <w:r w:rsidR="002377B7" w:rsidRPr="006F6EE0">
        <w:rPr>
          <w:rFonts w:ascii="ＭＳ ゴシック" w:eastAsia="ＭＳ ゴシック" w:hAnsi="ＭＳ ゴシック" w:hint="eastAsia"/>
          <w:b/>
          <w:color w:val="000000" w:themeColor="text1"/>
          <w:sz w:val="40"/>
          <w:szCs w:val="40"/>
        </w:rPr>
        <w:t>月</w:t>
      </w:r>
    </w:p>
    <w:p w14:paraId="191AECA1" w14:textId="77777777" w:rsidR="004217B8" w:rsidRPr="006F6EE0" w:rsidRDefault="004217B8" w:rsidP="00DC362C">
      <w:pPr>
        <w:snapToGrid w:val="0"/>
        <w:jc w:val="center"/>
        <w:rPr>
          <w:rFonts w:ascii="ＭＳ Ｐゴシック" w:eastAsia="ＭＳ Ｐゴシック" w:hAnsi="ＭＳ Ｐゴシック"/>
          <w:color w:val="000000" w:themeColor="text1"/>
          <w:sz w:val="32"/>
        </w:rPr>
      </w:pPr>
    </w:p>
    <w:p w14:paraId="38F4A578" w14:textId="5549A13D" w:rsidR="00790A57" w:rsidRPr="006F6EE0" w:rsidRDefault="00E80640" w:rsidP="00D06B50">
      <w:pPr>
        <w:snapToGrid w:val="0"/>
        <w:spacing w:line="400" w:lineRule="exact"/>
        <w:jc w:val="center"/>
        <w:rPr>
          <w:rFonts w:ascii="ＭＳ Ｐゴシック" w:eastAsia="ＭＳ Ｐゴシック" w:hAnsi="ＭＳ Ｐゴシック"/>
          <w:color w:val="000000" w:themeColor="text1"/>
          <w:sz w:val="28"/>
        </w:rPr>
      </w:pPr>
      <w:r w:rsidRPr="006F6EE0">
        <w:rPr>
          <w:rFonts w:ascii="ＭＳ Ｐゴシック" w:eastAsia="ＭＳ Ｐゴシック" w:hAnsi="ＭＳ Ｐゴシック" w:hint="eastAsia"/>
          <w:color w:val="000000" w:themeColor="text1"/>
          <w:sz w:val="28"/>
        </w:rPr>
        <w:lastRenderedPageBreak/>
        <w:t>製造業等における外国人材の受入拡大</w:t>
      </w:r>
      <w:r w:rsidR="00D06B50" w:rsidRPr="00D06B50">
        <w:rPr>
          <w:rFonts w:ascii="ＭＳ Ｐゴシック" w:eastAsia="ＭＳ Ｐゴシック" w:hAnsi="ＭＳ Ｐゴシック" w:hint="eastAsia"/>
          <w:color w:val="000000" w:themeColor="text1"/>
          <w:sz w:val="28"/>
        </w:rPr>
        <w:t>に関する提言</w:t>
      </w:r>
    </w:p>
    <w:p w14:paraId="1C7CC34A" w14:textId="77777777" w:rsidR="00682F44" w:rsidRPr="006F6EE0" w:rsidRDefault="00682F44" w:rsidP="008839D7">
      <w:pPr>
        <w:spacing w:line="400" w:lineRule="exact"/>
        <w:rPr>
          <w:color w:val="000000" w:themeColor="text1"/>
          <w:sz w:val="20"/>
          <w:szCs w:val="20"/>
        </w:rPr>
      </w:pPr>
    </w:p>
    <w:p w14:paraId="795CA76D" w14:textId="77777777" w:rsidR="00B87A33" w:rsidRPr="006F6EE0" w:rsidRDefault="00B87A33" w:rsidP="008839D7">
      <w:pPr>
        <w:spacing w:line="400" w:lineRule="exact"/>
        <w:rPr>
          <w:color w:val="000000" w:themeColor="text1"/>
          <w:sz w:val="20"/>
          <w:szCs w:val="20"/>
        </w:rPr>
      </w:pPr>
    </w:p>
    <w:p w14:paraId="1777AB1F"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厚生労働省の発表によると、外国人労働者数は年々増加傾向にあり、令和</w:t>
      </w:r>
      <w:r>
        <w:rPr>
          <w:rFonts w:asciiTheme="minorEastAsia" w:hAnsiTheme="minorEastAsia" w:cs="Generic1-Regular" w:hint="eastAsia"/>
          <w:kern w:val="0"/>
          <w:sz w:val="24"/>
          <w:szCs w:val="24"/>
        </w:rPr>
        <w:t>４</w:t>
      </w:r>
      <w:r w:rsidRPr="00A00C58">
        <w:rPr>
          <w:rFonts w:asciiTheme="minorEastAsia" w:hAnsiTheme="minorEastAsia" w:cs="Generic1-Regular" w:hint="eastAsia"/>
          <w:kern w:val="0"/>
          <w:sz w:val="24"/>
          <w:szCs w:val="24"/>
        </w:rPr>
        <w:t>年１０月末現在では約１８２万人と、全国の労働力人口</w:t>
      </w:r>
      <w:r w:rsidRPr="00770112">
        <w:rPr>
          <w:rFonts w:asciiTheme="minorEastAsia" w:hAnsiTheme="minorEastAsia" w:cs="Generic1-Regular" w:hint="eastAsia"/>
          <w:kern w:val="0"/>
          <w:sz w:val="24"/>
          <w:szCs w:val="24"/>
        </w:rPr>
        <w:t>約７千万人の３</w:t>
      </w:r>
      <w:r w:rsidRPr="00A00C58">
        <w:rPr>
          <w:rFonts w:asciiTheme="minorEastAsia" w:hAnsiTheme="minorEastAsia" w:cs="Generic1-Regular" w:hint="eastAsia"/>
          <w:kern w:val="0"/>
          <w:sz w:val="24"/>
          <w:szCs w:val="24"/>
        </w:rPr>
        <w:t>％を占め、この傾向は今後も続くことが見込まれている。</w:t>
      </w:r>
    </w:p>
    <w:p w14:paraId="64EC8047"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こうした中、改正出入国管理法の施行に伴い、一定の専門性・技能を有する外国人を受け入れるための新たな在留資格「特定技能」が平成３１年４月に創設された。農業、介護、建設、宿泊、製造業等１２分野１４業種で受入れが開始しており、５年間で、全国で最大約３４万５千人の外国人材の受入れが見込まれていたが、法務省出入国在留管理庁の公表による令和４年１２月末現在の特定技能在留外国人数（速報値）は、１３０，９１５人にとどまっており、人材確保が進まない状況にある。</w:t>
      </w:r>
    </w:p>
    <w:p w14:paraId="60021096"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また、受入可能な１２分野１４業種は、深刻な人手不足が生じている業種として国で選定されているが、人手不足にありながら対象業種には含まれない業種も多く見られる。</w:t>
      </w:r>
    </w:p>
    <w:p w14:paraId="4A4340CE"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さらに、地域を支える地場産業の人手不足も深刻であり、業界団体からは人手不足が進行すれば、業界そのものの存続が危ぶまれるとの声があがっている状況である。</w:t>
      </w:r>
    </w:p>
    <w:p w14:paraId="1119F169"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今後も労働力が減少していくことを考慮すると、外国人材の受入は今後も不可欠である。</w:t>
      </w:r>
    </w:p>
    <w:p w14:paraId="2B4F0311"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11356651"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以上を踏まえ、製造業等における外国人材の受入拡大及び共生について、次のとおり提言する。</w:t>
      </w:r>
    </w:p>
    <w:p w14:paraId="48A2DB4F"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p>
    <w:p w14:paraId="2AC45425"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１．特定技能在留外国人の受入れの加速化</w:t>
      </w:r>
    </w:p>
    <w:p w14:paraId="48DCDF3D" w14:textId="77777777" w:rsidR="00BA0C93" w:rsidRPr="00A00C58" w:rsidRDefault="00BA0C93" w:rsidP="00BA0C93">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現在、国内に在留している特定技能在留外国人のほとんどが技能実習からの移行によるものであるが、国外からの新規の受入れを促進するため、全分野での試験の実施や、送出国との調整を進めること。また、申請書類の簡素化や審査期間の短縮、事業者等への制度理解に向けた積極的な周知啓発など</w:t>
      </w:r>
      <w:r w:rsidRPr="00A00C58">
        <w:rPr>
          <w:rFonts w:asciiTheme="minorEastAsia" w:hAnsiTheme="minorEastAsia" w:cs="Generic1-Regular" w:hint="eastAsia"/>
          <w:kern w:val="0"/>
          <w:sz w:val="24"/>
          <w:szCs w:val="24"/>
        </w:rPr>
        <w:lastRenderedPageBreak/>
        <w:t>により、特定技能在留外国人の受入れを加速化すること。</w:t>
      </w:r>
    </w:p>
    <w:p w14:paraId="5C6D1228" w14:textId="77777777" w:rsidR="00BA0C93" w:rsidRPr="00A00C58" w:rsidRDefault="00BA0C93" w:rsidP="00BA0C93">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p>
    <w:p w14:paraId="5F5E710E"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２．受入分野の対象業種の拡大</w:t>
      </w:r>
    </w:p>
    <w:p w14:paraId="45240ED6" w14:textId="77777777" w:rsidR="00BA0C93" w:rsidRPr="00A00C58" w:rsidRDefault="00BA0C93" w:rsidP="00BA0C93">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「特定技能１号」における受入可能な特定産業分野の見直しについては、地域における労働需給の状況や地域の意向等を十分に反映すること。</w:t>
      </w:r>
    </w:p>
    <w:p w14:paraId="1359FF09"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【追加分野（例）】</w:t>
      </w:r>
    </w:p>
    <w:p w14:paraId="7E99C732"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・プラスチック製品製造業</w:t>
      </w:r>
    </w:p>
    <w:p w14:paraId="6C7BBB94" w14:textId="77777777" w:rsidR="00BA0C93" w:rsidRPr="00A00C58" w:rsidRDefault="00BA0C93" w:rsidP="00BA0C93">
      <w:pPr>
        <w:autoSpaceDE w:val="0"/>
        <w:autoSpaceDN w:val="0"/>
        <w:adjustRightInd w:val="0"/>
        <w:spacing w:line="400" w:lineRule="exact"/>
        <w:ind w:leftChars="114" w:left="515" w:hangingChars="115" w:hanging="276"/>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・金属製品製造業（現在、特定産業分野に含まれるものを除く。）</w:t>
      </w:r>
    </w:p>
    <w:p w14:paraId="61D804B0"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・ゴム製品製造業</w:t>
      </w:r>
    </w:p>
    <w:p w14:paraId="3738D1BE"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・なめし革・同製品・毛皮製造業</w:t>
      </w:r>
    </w:p>
    <w:p w14:paraId="19D33EE4"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・繊維工業</w:t>
      </w:r>
    </w:p>
    <w:p w14:paraId="582074A3"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・林業</w:t>
      </w:r>
    </w:p>
    <w:p w14:paraId="702779D0"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・木材・木製品製造業（家具を除く）</w:t>
      </w:r>
    </w:p>
    <w:p w14:paraId="35791048"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・家具・装備品製造業</w:t>
      </w:r>
    </w:p>
    <w:p w14:paraId="00726D68"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p>
    <w:p w14:paraId="40DBDAB1"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３．地方等への外国人材の還流</w:t>
      </w:r>
    </w:p>
    <w:p w14:paraId="4D617CB6" w14:textId="77777777" w:rsidR="00BA0C93" w:rsidRPr="00A00C58" w:rsidRDefault="00BA0C93" w:rsidP="00BA0C93">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特定技能在留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2FFA3134" w14:textId="77777777" w:rsidR="00BA0C93" w:rsidRPr="00A00C58" w:rsidRDefault="00BA0C93" w:rsidP="00BA0C93">
      <w:pPr>
        <w:autoSpaceDE w:val="0"/>
        <w:autoSpaceDN w:val="0"/>
        <w:adjustRightInd w:val="0"/>
        <w:spacing w:line="400" w:lineRule="exact"/>
        <w:ind w:firstLineChars="100" w:firstLine="240"/>
        <w:jc w:val="left"/>
        <w:rPr>
          <w:rFonts w:asciiTheme="minorEastAsia" w:hAnsiTheme="minorEastAsia" w:cs="Generic1-Regular"/>
          <w:kern w:val="0"/>
          <w:sz w:val="24"/>
          <w:szCs w:val="24"/>
        </w:rPr>
      </w:pPr>
    </w:p>
    <w:p w14:paraId="2C3E5EA0" w14:textId="77777777" w:rsidR="00BA0C93" w:rsidRPr="00A00C58" w:rsidRDefault="00BA0C93" w:rsidP="00BA0C93">
      <w:pPr>
        <w:autoSpaceDE w:val="0"/>
        <w:autoSpaceDN w:val="0"/>
        <w:adjustRightInd w:val="0"/>
        <w:spacing w:line="400" w:lineRule="exact"/>
        <w:ind w:left="307" w:hangingChars="128" w:hanging="307"/>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４．受入れ機関に対する支援制度の創設および相談支援体制の整備</w:t>
      </w:r>
    </w:p>
    <w:p w14:paraId="6FC0E595" w14:textId="77777777" w:rsidR="00BA0C93" w:rsidRPr="00A00C58" w:rsidRDefault="00BA0C93" w:rsidP="00BA0C93">
      <w:pPr>
        <w:autoSpaceDE w:val="0"/>
        <w:autoSpaceDN w:val="0"/>
        <w:adjustRightInd w:val="0"/>
        <w:spacing w:line="400" w:lineRule="exact"/>
        <w:ind w:leftChars="100" w:left="21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人材不足が深刻な中小・小規模事業者が、円滑かつ適正に特定技能在留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14:paraId="56346D94"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p>
    <w:p w14:paraId="345CA8B3" w14:textId="77777777" w:rsidR="00BA0C93" w:rsidRPr="00A00C58" w:rsidRDefault="00BA0C93" w:rsidP="00BA0C93">
      <w:pPr>
        <w:autoSpaceDE w:val="0"/>
        <w:autoSpaceDN w:val="0"/>
        <w:adjustRightInd w:val="0"/>
        <w:spacing w:line="400" w:lineRule="exact"/>
        <w:ind w:left="238" w:hangingChars="99" w:hanging="238"/>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５．多文化共生社会の実現に向けた実効性のある受入体制の整備</w:t>
      </w:r>
    </w:p>
    <w:p w14:paraId="61C09E03" w14:textId="77777777" w:rsidR="00BA0C93" w:rsidRPr="00A00C58" w:rsidRDefault="00BA0C93" w:rsidP="00BA0C93">
      <w:pPr>
        <w:autoSpaceDE w:val="0"/>
        <w:autoSpaceDN w:val="0"/>
        <w:adjustRightInd w:val="0"/>
        <w:spacing w:line="400" w:lineRule="exact"/>
        <w:ind w:leftChars="100" w:left="21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 xml:space="preserve">　外国人との共生に向けて、必要な受入体制を国の責任において実効性のあるものとし、また、地方公共団体が実施する取組に対して、人的・財政的な支援を行うこと。</w:t>
      </w:r>
    </w:p>
    <w:p w14:paraId="357AC1C4"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（１）医療体制及び災害時・緊急時の体制</w:t>
      </w:r>
    </w:p>
    <w:p w14:paraId="41684C87" w14:textId="77777777" w:rsidR="00BA0C93" w:rsidRPr="00A00C58" w:rsidRDefault="00BA0C93" w:rsidP="00BA0C93">
      <w:pPr>
        <w:autoSpaceDE w:val="0"/>
        <w:autoSpaceDN w:val="0"/>
        <w:adjustRightInd w:val="0"/>
        <w:spacing w:line="400" w:lineRule="exact"/>
        <w:ind w:leftChars="200" w:left="42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lastRenderedPageBreak/>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594CA617"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p>
    <w:p w14:paraId="6C8CB265"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（２）住居の確保</w:t>
      </w:r>
    </w:p>
    <w:p w14:paraId="6CA4B810" w14:textId="77777777" w:rsidR="00BA0C93" w:rsidRPr="00A00C58" w:rsidRDefault="00BA0C93" w:rsidP="00BA0C93">
      <w:pPr>
        <w:autoSpaceDE w:val="0"/>
        <w:autoSpaceDN w:val="0"/>
        <w:adjustRightInd w:val="0"/>
        <w:spacing w:line="400" w:lineRule="exact"/>
        <w:ind w:leftChars="100" w:left="450" w:hangingChars="100" w:hanging="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063622E5"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p>
    <w:p w14:paraId="65E56004" w14:textId="77777777" w:rsidR="00BA0C93" w:rsidRPr="00A00C58" w:rsidRDefault="00BA0C93" w:rsidP="00BA0C93">
      <w:pPr>
        <w:autoSpaceDE w:val="0"/>
        <w:autoSpaceDN w:val="0"/>
        <w:adjustRightInd w:val="0"/>
        <w:spacing w:line="400" w:lineRule="exact"/>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（３）悪質な仲介事業者等の排除</w:t>
      </w:r>
    </w:p>
    <w:p w14:paraId="2BA15577" w14:textId="77777777" w:rsidR="00BA0C93" w:rsidRPr="00A00C58" w:rsidRDefault="00BA0C93" w:rsidP="00BA0C93">
      <w:pPr>
        <w:tabs>
          <w:tab w:val="left" w:pos="284"/>
        </w:tabs>
        <w:autoSpaceDE w:val="0"/>
        <w:autoSpaceDN w:val="0"/>
        <w:adjustRightInd w:val="0"/>
        <w:spacing w:line="400" w:lineRule="exact"/>
        <w:ind w:leftChars="200" w:left="420" w:firstLineChars="100" w:firstLine="240"/>
        <w:jc w:val="left"/>
        <w:rPr>
          <w:rFonts w:asciiTheme="minorEastAsia" w:hAnsiTheme="minorEastAsia" w:cs="Generic1-Regular"/>
          <w:kern w:val="0"/>
          <w:sz w:val="24"/>
          <w:szCs w:val="24"/>
        </w:rPr>
      </w:pPr>
      <w:r w:rsidRPr="00A00C58">
        <w:rPr>
          <w:rFonts w:asciiTheme="minorEastAsia" w:hAnsiTheme="minorEastAsia" w:cs="Generic1-Regular" w:hint="eastAsia"/>
          <w:kern w:val="0"/>
          <w:sz w:val="24"/>
          <w:szCs w:val="24"/>
        </w:rPr>
        <w:t>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24319A70" w14:textId="77777777" w:rsidR="009F0387" w:rsidRPr="00BA0C93" w:rsidRDefault="009F0387" w:rsidP="008839D7">
      <w:pPr>
        <w:snapToGrid w:val="0"/>
        <w:spacing w:line="400" w:lineRule="exact"/>
        <w:ind w:firstLineChars="100" w:firstLine="240"/>
        <w:jc w:val="left"/>
        <w:rPr>
          <w:color w:val="000000" w:themeColor="text1"/>
          <w:sz w:val="24"/>
          <w:szCs w:val="24"/>
        </w:rPr>
      </w:pPr>
    </w:p>
    <w:p w14:paraId="1DFE89E4" w14:textId="15E3BE46" w:rsidR="00E13CD6" w:rsidRPr="006F6EE0" w:rsidRDefault="00C86AC7" w:rsidP="008839D7">
      <w:pPr>
        <w:snapToGrid w:val="0"/>
        <w:spacing w:line="400" w:lineRule="exact"/>
        <w:ind w:firstLineChars="100" w:firstLine="240"/>
        <w:jc w:val="left"/>
        <w:rPr>
          <w:color w:val="000000" w:themeColor="text1"/>
          <w:sz w:val="24"/>
          <w:szCs w:val="24"/>
        </w:rPr>
      </w:pPr>
      <w:r w:rsidRPr="006F6EE0">
        <w:rPr>
          <w:rFonts w:hint="eastAsia"/>
          <w:color w:val="000000" w:themeColor="text1"/>
          <w:sz w:val="24"/>
          <w:szCs w:val="24"/>
        </w:rPr>
        <w:t>令和</w:t>
      </w:r>
      <w:r w:rsidR="00BA0C93">
        <w:rPr>
          <w:rFonts w:hint="eastAsia"/>
          <w:color w:val="000000" w:themeColor="text1"/>
          <w:sz w:val="24"/>
          <w:szCs w:val="24"/>
        </w:rPr>
        <w:t>５</w:t>
      </w:r>
      <w:r w:rsidRPr="006F6EE0">
        <w:rPr>
          <w:rFonts w:hint="eastAsia"/>
          <w:color w:val="000000" w:themeColor="text1"/>
          <w:sz w:val="24"/>
          <w:szCs w:val="24"/>
        </w:rPr>
        <w:t>年</w:t>
      </w:r>
      <w:r w:rsidR="00BA0C93">
        <w:rPr>
          <w:rFonts w:hint="eastAsia"/>
          <w:color w:val="000000" w:themeColor="text1"/>
          <w:sz w:val="24"/>
          <w:szCs w:val="24"/>
        </w:rPr>
        <w:t>７</w:t>
      </w:r>
      <w:r w:rsidR="00C11AA5" w:rsidRPr="006F6EE0">
        <w:rPr>
          <w:rFonts w:hint="eastAsia"/>
          <w:color w:val="000000" w:themeColor="text1"/>
          <w:sz w:val="24"/>
          <w:szCs w:val="24"/>
        </w:rPr>
        <w:t>月</w:t>
      </w:r>
    </w:p>
    <w:p w14:paraId="1203A20D" w14:textId="77777777" w:rsidR="00A80635" w:rsidRPr="006F6EE0" w:rsidRDefault="00A80635" w:rsidP="008839D7">
      <w:pPr>
        <w:snapToGrid w:val="0"/>
        <w:spacing w:line="400" w:lineRule="exact"/>
        <w:ind w:firstLineChars="1200" w:firstLine="2880"/>
        <w:jc w:val="left"/>
        <w:rPr>
          <w:color w:val="000000" w:themeColor="text1"/>
          <w:sz w:val="24"/>
          <w:szCs w:val="26"/>
        </w:rPr>
      </w:pPr>
      <w:r w:rsidRPr="006F6EE0">
        <w:rPr>
          <w:rFonts w:hint="eastAsia"/>
          <w:color w:val="000000" w:themeColor="text1"/>
          <w:sz w:val="24"/>
          <w:szCs w:val="26"/>
        </w:rPr>
        <w:t>近畿ブロック知事会</w:t>
      </w:r>
    </w:p>
    <w:tbl>
      <w:tblPr>
        <w:tblStyle w:val="a9"/>
        <w:tblW w:w="4321" w:type="dxa"/>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A0C93" w:rsidRPr="006F6EE0" w14:paraId="59C469E2" w14:textId="77777777" w:rsidTr="00BA0C93">
        <w:tc>
          <w:tcPr>
            <w:tcW w:w="2044" w:type="dxa"/>
          </w:tcPr>
          <w:p w14:paraId="306C7ED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福井県知事</w:t>
            </w:r>
          </w:p>
        </w:tc>
        <w:tc>
          <w:tcPr>
            <w:tcW w:w="2277" w:type="dxa"/>
          </w:tcPr>
          <w:p w14:paraId="2E80ADB3" w14:textId="5C9A3079"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杉　本　達　治</w:t>
            </w:r>
          </w:p>
        </w:tc>
      </w:tr>
      <w:tr w:rsidR="00BA0C93" w:rsidRPr="006F6EE0" w14:paraId="5E6D63E7" w14:textId="77777777" w:rsidTr="00BA0C93">
        <w:tc>
          <w:tcPr>
            <w:tcW w:w="2044" w:type="dxa"/>
          </w:tcPr>
          <w:p w14:paraId="5F1EF0F2"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三重県知事</w:t>
            </w:r>
          </w:p>
        </w:tc>
        <w:tc>
          <w:tcPr>
            <w:tcW w:w="2277" w:type="dxa"/>
          </w:tcPr>
          <w:p w14:paraId="70F1D20D" w14:textId="224277B6"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一　見　勝　之</w:t>
            </w:r>
          </w:p>
        </w:tc>
      </w:tr>
      <w:tr w:rsidR="00BA0C93" w:rsidRPr="006F6EE0" w14:paraId="76A54422" w14:textId="77777777" w:rsidTr="00BA0C93">
        <w:tc>
          <w:tcPr>
            <w:tcW w:w="2044" w:type="dxa"/>
          </w:tcPr>
          <w:p w14:paraId="259E7A73"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滋賀県知事</w:t>
            </w:r>
          </w:p>
        </w:tc>
        <w:tc>
          <w:tcPr>
            <w:tcW w:w="2277" w:type="dxa"/>
          </w:tcPr>
          <w:p w14:paraId="0AE54843" w14:textId="6AF74E37"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三日月　大　造</w:t>
            </w:r>
          </w:p>
        </w:tc>
      </w:tr>
      <w:tr w:rsidR="00BA0C93" w:rsidRPr="006F6EE0" w14:paraId="328BBC03" w14:textId="77777777" w:rsidTr="00BA0C93">
        <w:tc>
          <w:tcPr>
            <w:tcW w:w="2044" w:type="dxa"/>
          </w:tcPr>
          <w:p w14:paraId="3D33D505"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京都府知事</w:t>
            </w:r>
          </w:p>
        </w:tc>
        <w:tc>
          <w:tcPr>
            <w:tcW w:w="2277" w:type="dxa"/>
          </w:tcPr>
          <w:p w14:paraId="5C740E13" w14:textId="2C8090AA"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西　脇　隆　俊</w:t>
            </w:r>
          </w:p>
        </w:tc>
      </w:tr>
      <w:tr w:rsidR="00BA0C93" w:rsidRPr="006F6EE0" w14:paraId="1C3024E5" w14:textId="77777777" w:rsidTr="00BA0C93">
        <w:tc>
          <w:tcPr>
            <w:tcW w:w="2044" w:type="dxa"/>
          </w:tcPr>
          <w:p w14:paraId="35B8914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大阪府知事</w:t>
            </w:r>
          </w:p>
        </w:tc>
        <w:tc>
          <w:tcPr>
            <w:tcW w:w="2277" w:type="dxa"/>
          </w:tcPr>
          <w:p w14:paraId="7C9B48BC" w14:textId="5B3A86D3"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吉　村　洋　文</w:t>
            </w:r>
          </w:p>
        </w:tc>
      </w:tr>
      <w:tr w:rsidR="00BA0C93" w:rsidRPr="006F6EE0" w14:paraId="3095A8F6" w14:textId="77777777" w:rsidTr="00BA0C93">
        <w:tc>
          <w:tcPr>
            <w:tcW w:w="2044" w:type="dxa"/>
          </w:tcPr>
          <w:p w14:paraId="7E043390"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兵庫県知事</w:t>
            </w:r>
          </w:p>
        </w:tc>
        <w:tc>
          <w:tcPr>
            <w:tcW w:w="2277" w:type="dxa"/>
          </w:tcPr>
          <w:p w14:paraId="461296DF" w14:textId="6F5327EA"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齋　藤　元　彦</w:t>
            </w:r>
          </w:p>
        </w:tc>
      </w:tr>
      <w:tr w:rsidR="00BA0C93" w:rsidRPr="006F6EE0" w14:paraId="46A4FB60" w14:textId="77777777" w:rsidTr="00BA0C93">
        <w:tc>
          <w:tcPr>
            <w:tcW w:w="2044" w:type="dxa"/>
          </w:tcPr>
          <w:p w14:paraId="787FA79A"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奈良県知事</w:t>
            </w:r>
          </w:p>
        </w:tc>
        <w:tc>
          <w:tcPr>
            <w:tcW w:w="2277" w:type="dxa"/>
          </w:tcPr>
          <w:p w14:paraId="7E590EA9" w14:textId="642F1EFC"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BA0C93" w:rsidRPr="006F6EE0" w14:paraId="0AB7783C" w14:textId="77777777" w:rsidTr="00BA0C93">
        <w:tc>
          <w:tcPr>
            <w:tcW w:w="2044" w:type="dxa"/>
          </w:tcPr>
          <w:p w14:paraId="424C6BF0"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和歌山県知事</w:t>
            </w:r>
          </w:p>
        </w:tc>
        <w:tc>
          <w:tcPr>
            <w:tcW w:w="2277" w:type="dxa"/>
          </w:tcPr>
          <w:p w14:paraId="0C39B4A1" w14:textId="7EC4A7CC"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BA0C93" w:rsidRPr="006F6EE0" w14:paraId="63CADA24" w14:textId="77777777" w:rsidTr="00BA0C93">
        <w:tc>
          <w:tcPr>
            <w:tcW w:w="2044" w:type="dxa"/>
          </w:tcPr>
          <w:p w14:paraId="3B8C3EC9"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鳥取県知事</w:t>
            </w:r>
          </w:p>
        </w:tc>
        <w:tc>
          <w:tcPr>
            <w:tcW w:w="2277" w:type="dxa"/>
          </w:tcPr>
          <w:p w14:paraId="6C64C3EE" w14:textId="59663FC8" w:rsidR="00BA0C93" w:rsidRPr="006F6EE0" w:rsidRDefault="00BA0C93" w:rsidP="00BA0C93">
            <w:pPr>
              <w:snapToGrid w:val="0"/>
              <w:spacing w:line="400" w:lineRule="exact"/>
              <w:jc w:val="left"/>
              <w:rPr>
                <w:color w:val="000000" w:themeColor="text1"/>
                <w:sz w:val="24"/>
                <w:szCs w:val="26"/>
              </w:rPr>
            </w:pPr>
            <w:r w:rsidRPr="002724B4">
              <w:rPr>
                <w:rFonts w:hint="eastAsia"/>
                <w:color w:val="000000" w:themeColor="text1"/>
                <w:sz w:val="24"/>
                <w:szCs w:val="26"/>
              </w:rPr>
              <w:t>平　井　伸　治</w:t>
            </w:r>
          </w:p>
        </w:tc>
      </w:tr>
      <w:tr w:rsidR="00BA0C93" w:rsidRPr="006F6EE0" w14:paraId="7FB29BFB" w14:textId="77777777" w:rsidTr="00BA0C93">
        <w:tc>
          <w:tcPr>
            <w:tcW w:w="2044" w:type="dxa"/>
          </w:tcPr>
          <w:p w14:paraId="781F7D94" w14:textId="77777777" w:rsidR="00BA0C93" w:rsidRPr="006F6EE0" w:rsidRDefault="00BA0C93" w:rsidP="00BA0C93">
            <w:pPr>
              <w:snapToGrid w:val="0"/>
              <w:spacing w:line="400" w:lineRule="exact"/>
              <w:rPr>
                <w:color w:val="000000" w:themeColor="text1"/>
                <w:sz w:val="24"/>
                <w:szCs w:val="26"/>
              </w:rPr>
            </w:pPr>
            <w:r w:rsidRPr="006F6EE0">
              <w:rPr>
                <w:rFonts w:hint="eastAsia"/>
                <w:color w:val="000000" w:themeColor="text1"/>
                <w:sz w:val="24"/>
                <w:szCs w:val="26"/>
              </w:rPr>
              <w:t>徳島県知事</w:t>
            </w:r>
          </w:p>
        </w:tc>
        <w:tc>
          <w:tcPr>
            <w:tcW w:w="2277" w:type="dxa"/>
          </w:tcPr>
          <w:p w14:paraId="2C97FCF5" w14:textId="42A9D377" w:rsidR="00BA0C93" w:rsidRPr="006F6EE0" w:rsidRDefault="00BA0C93" w:rsidP="00BA0C93">
            <w:pPr>
              <w:snapToGrid w:val="0"/>
              <w:spacing w:line="40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0216DA68" w14:textId="77777777" w:rsidR="00A80635" w:rsidRPr="006F6EE0" w:rsidRDefault="00A80635" w:rsidP="003F1616">
      <w:pPr>
        <w:snapToGrid w:val="0"/>
        <w:spacing w:before="240" w:line="400" w:lineRule="exact"/>
        <w:ind w:firstLineChars="1200" w:firstLine="2880"/>
        <w:jc w:val="left"/>
        <w:rPr>
          <w:color w:val="000000" w:themeColor="text1"/>
          <w:sz w:val="24"/>
          <w:szCs w:val="26"/>
        </w:rPr>
      </w:pPr>
    </w:p>
    <w:sectPr w:rsidR="00A80635" w:rsidRPr="006F6EE0"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8C3F" w14:textId="77777777" w:rsidR="00602DC0" w:rsidRDefault="00602DC0" w:rsidP="003A6B0E">
      <w:r>
        <w:separator/>
      </w:r>
    </w:p>
  </w:endnote>
  <w:endnote w:type="continuationSeparator" w:id="0">
    <w:p w14:paraId="7A8FB824" w14:textId="77777777" w:rsidR="00602DC0" w:rsidRDefault="00602DC0"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6FAD" w14:textId="77777777" w:rsidR="00602DC0" w:rsidRDefault="00602DC0" w:rsidP="003A6B0E">
      <w:r>
        <w:separator/>
      </w:r>
    </w:p>
  </w:footnote>
  <w:footnote w:type="continuationSeparator" w:id="0">
    <w:p w14:paraId="02CF267C" w14:textId="77777777" w:rsidR="00602DC0" w:rsidRDefault="00602DC0"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8006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1931"/>
    <w:rsid w:val="000037FD"/>
    <w:rsid w:val="0000578F"/>
    <w:rsid w:val="00014B8B"/>
    <w:rsid w:val="0002101E"/>
    <w:rsid w:val="000279F1"/>
    <w:rsid w:val="00030568"/>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079E"/>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22155"/>
    <w:rsid w:val="0023481A"/>
    <w:rsid w:val="002377B7"/>
    <w:rsid w:val="002465A5"/>
    <w:rsid w:val="00252134"/>
    <w:rsid w:val="00263844"/>
    <w:rsid w:val="00264D63"/>
    <w:rsid w:val="0027298A"/>
    <w:rsid w:val="00294FE6"/>
    <w:rsid w:val="002A3B29"/>
    <w:rsid w:val="002A4C37"/>
    <w:rsid w:val="002A66C3"/>
    <w:rsid w:val="002B459E"/>
    <w:rsid w:val="002B659C"/>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1616"/>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640D1"/>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18AB"/>
    <w:rsid w:val="005D51DE"/>
    <w:rsid w:val="005E1765"/>
    <w:rsid w:val="005F1987"/>
    <w:rsid w:val="005F5618"/>
    <w:rsid w:val="00602DC0"/>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2A1"/>
    <w:rsid w:val="006D3F9C"/>
    <w:rsid w:val="006D7741"/>
    <w:rsid w:val="006E02DD"/>
    <w:rsid w:val="006E60A4"/>
    <w:rsid w:val="006F3805"/>
    <w:rsid w:val="006F6EE0"/>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C1692"/>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839D7"/>
    <w:rsid w:val="008A0311"/>
    <w:rsid w:val="008A155E"/>
    <w:rsid w:val="008A3934"/>
    <w:rsid w:val="008A5912"/>
    <w:rsid w:val="008B34EC"/>
    <w:rsid w:val="008B5BAC"/>
    <w:rsid w:val="008C4056"/>
    <w:rsid w:val="008D3AFE"/>
    <w:rsid w:val="008D7A47"/>
    <w:rsid w:val="008E3AD0"/>
    <w:rsid w:val="008F0E13"/>
    <w:rsid w:val="008F5307"/>
    <w:rsid w:val="008F5994"/>
    <w:rsid w:val="00903EF3"/>
    <w:rsid w:val="009052E9"/>
    <w:rsid w:val="009124C6"/>
    <w:rsid w:val="00913DCA"/>
    <w:rsid w:val="00915A15"/>
    <w:rsid w:val="00917C32"/>
    <w:rsid w:val="009248C9"/>
    <w:rsid w:val="00936096"/>
    <w:rsid w:val="0094111A"/>
    <w:rsid w:val="00947301"/>
    <w:rsid w:val="0095096B"/>
    <w:rsid w:val="00953FFD"/>
    <w:rsid w:val="00954AB6"/>
    <w:rsid w:val="009641D4"/>
    <w:rsid w:val="009643E4"/>
    <w:rsid w:val="00964563"/>
    <w:rsid w:val="00984705"/>
    <w:rsid w:val="00993DC4"/>
    <w:rsid w:val="00997BE3"/>
    <w:rsid w:val="009A474D"/>
    <w:rsid w:val="009A5A95"/>
    <w:rsid w:val="009B36DD"/>
    <w:rsid w:val="009C1865"/>
    <w:rsid w:val="009C370C"/>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635"/>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0C9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33C1"/>
    <w:rsid w:val="00CA60A7"/>
    <w:rsid w:val="00CB271B"/>
    <w:rsid w:val="00CB44ED"/>
    <w:rsid w:val="00CB7C21"/>
    <w:rsid w:val="00CF223C"/>
    <w:rsid w:val="00D01634"/>
    <w:rsid w:val="00D054D9"/>
    <w:rsid w:val="00D06B50"/>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B417F"/>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F5F12-0E2F-490C-A0FF-656EE41D1FBF}">
  <ds:schemaRefs>
    <ds:schemaRef ds:uri="http://schemas.openxmlformats.org/officeDocument/2006/bibliography"/>
  </ds:schemaRefs>
</ds:datastoreItem>
</file>

<file path=customXml/itemProps2.xml><?xml version="1.0" encoding="utf-8"?>
<ds:datastoreItem xmlns:ds="http://schemas.openxmlformats.org/officeDocument/2006/customXml" ds:itemID="{90060C3F-61CA-4171-AF3C-78A6291D9AC2}"/>
</file>

<file path=customXml/itemProps3.xml><?xml version="1.0" encoding="utf-8"?>
<ds:datastoreItem xmlns:ds="http://schemas.openxmlformats.org/officeDocument/2006/customXml" ds:itemID="{E05CFB16-2823-472E-B170-1909B4446BC1}"/>
</file>

<file path=customXml/itemProps4.xml><?xml version="1.0" encoding="utf-8"?>
<ds:datastoreItem xmlns:ds="http://schemas.openxmlformats.org/officeDocument/2006/customXml" ds:itemID="{64631A3F-C30D-49AD-824C-5D3FEAC2A0DA}"/>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1829</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両橋 美由紀</cp:lastModifiedBy>
  <cp:revision>2</cp:revision>
  <cp:lastPrinted>2023-06-29T07:59:00Z</cp:lastPrinted>
  <dcterms:created xsi:type="dcterms:W3CDTF">2023-07-04T02:12:00Z</dcterms:created>
  <dcterms:modified xsi:type="dcterms:W3CDTF">2023-07-04T02:12:00Z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