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930"/>
      </w:tblGrid>
      <w:tr w:rsidR="002E2D24" w:rsidRPr="00D82F4E" w14:paraId="0C1B438D" w14:textId="77777777" w:rsidTr="001E37F9">
        <w:trPr>
          <w:trHeight w:val="674"/>
        </w:trPr>
        <w:tc>
          <w:tcPr>
            <w:tcW w:w="2249" w:type="dxa"/>
            <w:shd w:val="clear" w:color="auto" w:fill="auto"/>
            <w:vAlign w:val="center"/>
          </w:tcPr>
          <w:p w14:paraId="576C8118" w14:textId="3C414EBF" w:rsidR="002E2D24" w:rsidRPr="00614675" w:rsidRDefault="002C6EA5" w:rsidP="004D7741">
            <w:pPr>
              <w:widowControl/>
              <w:autoSpaceDE w:val="0"/>
              <w:autoSpaceDN w:val="0"/>
              <w:spacing w:line="300" w:lineRule="exact"/>
              <w:jc w:val="center"/>
              <w:rPr>
                <w:rFonts w:ascii="ＭＳ Ｐゴシック" w:eastAsia="ＭＳ Ｐゴシック" w:hAnsi="ＭＳ Ｐゴシック" w:cs="Arial"/>
                <w:color w:val="000000"/>
                <w:kern w:val="0"/>
              </w:rPr>
            </w:pPr>
            <w:r>
              <w:rPr>
                <w:rFonts w:ascii="ＭＳ ゴシック" w:eastAsia="ＭＳ ゴシック" w:hAnsi="ＭＳ ゴシック" w:hint="eastAsia"/>
                <w:b/>
              </w:rPr>
              <w:t xml:space="preserve">　</w:t>
            </w:r>
            <w:bookmarkStart w:id="0" w:name="_Hlk148619782"/>
            <w:r w:rsidR="002E2D24"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930"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C6EA5" w:rsidRPr="00D82F4E" w14:paraId="036101DF" w14:textId="77777777" w:rsidTr="001E37F9">
        <w:trPr>
          <w:trHeight w:val="6961"/>
        </w:trPr>
        <w:tc>
          <w:tcPr>
            <w:tcW w:w="2249" w:type="dxa"/>
            <w:shd w:val="clear" w:color="auto" w:fill="auto"/>
          </w:tcPr>
          <w:p w14:paraId="1A9765E6" w14:textId="3C0F4657" w:rsidR="002C6EA5" w:rsidRPr="00614675" w:rsidRDefault="002C6EA5" w:rsidP="002C6EA5">
            <w:pPr>
              <w:autoSpaceDE w:val="0"/>
              <w:autoSpaceDN w:val="0"/>
              <w:spacing w:line="300" w:lineRule="exact"/>
              <w:rPr>
                <w:rFonts w:hAnsi="ＭＳ 明朝"/>
              </w:rPr>
            </w:pPr>
          </w:p>
          <w:p w14:paraId="3D2CFB47" w14:textId="29E2A7AF" w:rsidR="002C6EA5" w:rsidRPr="00614675" w:rsidRDefault="002C6EA5" w:rsidP="002C6EA5">
            <w:pPr>
              <w:autoSpaceDE w:val="0"/>
              <w:autoSpaceDN w:val="0"/>
              <w:snapToGrid w:val="0"/>
              <w:spacing w:line="300" w:lineRule="exact"/>
              <w:rPr>
                <w:rFonts w:hAnsi="ＭＳ 明朝"/>
              </w:rPr>
            </w:pPr>
            <w:r>
              <w:rPr>
                <w:rFonts w:hAnsi="ＭＳ 明朝" w:hint="eastAsia"/>
              </w:rPr>
              <w:t>佐野工科高等学校</w:t>
            </w:r>
          </w:p>
          <w:p w14:paraId="01B09AA7" w14:textId="77777777" w:rsidR="002C6EA5" w:rsidRPr="00614675" w:rsidRDefault="002C6EA5" w:rsidP="002C6EA5">
            <w:pPr>
              <w:autoSpaceDE w:val="0"/>
              <w:autoSpaceDN w:val="0"/>
              <w:snapToGrid w:val="0"/>
              <w:spacing w:line="300" w:lineRule="exact"/>
              <w:rPr>
                <w:rFonts w:hAnsi="ＭＳ 明朝"/>
              </w:rPr>
            </w:pPr>
          </w:p>
        </w:tc>
        <w:tc>
          <w:tcPr>
            <w:tcW w:w="9654" w:type="dxa"/>
          </w:tcPr>
          <w:p w14:paraId="6C334D71" w14:textId="338F35C5" w:rsidR="002C6EA5" w:rsidRPr="007D4458" w:rsidRDefault="002C6EA5" w:rsidP="002C6EA5">
            <w:pPr>
              <w:autoSpaceDE w:val="0"/>
              <w:autoSpaceDN w:val="0"/>
              <w:spacing w:line="300" w:lineRule="exact"/>
              <w:rPr>
                <w:rFonts w:hAnsi="ＭＳ 明朝"/>
              </w:rPr>
            </w:pPr>
          </w:p>
          <w:p w14:paraId="072EC989" w14:textId="77777777" w:rsidR="002C6EA5" w:rsidRDefault="002C6EA5" w:rsidP="002C6EA5">
            <w:pPr>
              <w:autoSpaceDE w:val="0"/>
              <w:autoSpaceDN w:val="0"/>
              <w:spacing w:line="300" w:lineRule="exact"/>
              <w:ind w:firstLineChars="100" w:firstLine="240"/>
              <w:rPr>
                <w:rFonts w:hAnsi="ＭＳ 明朝" w:cs="Arial"/>
              </w:rPr>
            </w:pPr>
            <w:r>
              <w:rPr>
                <w:rFonts w:hAnsi="ＭＳ 明朝" w:cs="Arial" w:hint="eastAsia"/>
              </w:rPr>
              <w:t>令和４年度の財務諸表（貸借対照表）の建設仮勘定に、工事完了による引渡しが行われている下記の工事に係る金額が計上されたままとなっていた。</w:t>
            </w:r>
          </w:p>
          <w:p w14:paraId="28F64C63" w14:textId="51845B80" w:rsidR="002C6EA5" w:rsidRDefault="002C6EA5" w:rsidP="002C6EA5">
            <w:pPr>
              <w:autoSpaceDE w:val="0"/>
              <w:autoSpaceDN w:val="0"/>
              <w:spacing w:line="300" w:lineRule="exact"/>
              <w:rPr>
                <w:rFonts w:hAnsi="ＭＳ 明朝" w:cs="Arial"/>
              </w:rPr>
            </w:pPr>
          </w:p>
          <w:tbl>
            <w:tblPr>
              <w:tblW w:w="90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187"/>
              <w:gridCol w:w="1905"/>
              <w:gridCol w:w="1487"/>
            </w:tblGrid>
            <w:tr w:rsidR="002C6EA5" w14:paraId="1B0C0A2D" w14:textId="77777777" w:rsidTr="00973149">
              <w:tc>
                <w:tcPr>
                  <w:tcW w:w="1461" w:type="dxa"/>
                  <w:tcBorders>
                    <w:top w:val="single" w:sz="4" w:space="0" w:color="auto"/>
                    <w:left w:val="single" w:sz="4" w:space="0" w:color="auto"/>
                    <w:bottom w:val="single" w:sz="4" w:space="0" w:color="auto"/>
                    <w:right w:val="single" w:sz="4" w:space="0" w:color="auto"/>
                  </w:tcBorders>
                  <w:vAlign w:val="center"/>
                  <w:hideMark/>
                </w:tcPr>
                <w:p w14:paraId="0BDD2D9C" w14:textId="77777777" w:rsidR="002C6EA5" w:rsidRDefault="002C6EA5" w:rsidP="001E37F9">
                  <w:pPr>
                    <w:framePr w:hSpace="142" w:wrap="around" w:vAnchor="text" w:hAnchor="margin" w:y="374"/>
                    <w:autoSpaceDE w:val="0"/>
                    <w:autoSpaceDN w:val="0"/>
                    <w:spacing w:line="300" w:lineRule="exact"/>
                    <w:jc w:val="center"/>
                    <w:rPr>
                      <w:rFonts w:hAnsi="ＭＳ 明朝" w:cs="Arial"/>
                    </w:rPr>
                  </w:pPr>
                  <w:r>
                    <w:rPr>
                      <w:rFonts w:hAnsi="ＭＳ 明朝" w:cs="Arial" w:hint="eastAsia"/>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3F2B83A0" w14:textId="77777777" w:rsidR="002C6EA5" w:rsidRDefault="002C6EA5" w:rsidP="001E37F9">
                  <w:pPr>
                    <w:framePr w:hSpace="142" w:wrap="around" w:vAnchor="text" w:hAnchor="margin" w:y="374"/>
                    <w:autoSpaceDE w:val="0"/>
                    <w:autoSpaceDN w:val="0"/>
                    <w:spacing w:line="300" w:lineRule="exact"/>
                    <w:jc w:val="center"/>
                    <w:rPr>
                      <w:rFonts w:hAnsi="ＭＳ 明朝" w:cs="Arial"/>
                    </w:rPr>
                  </w:pPr>
                  <w:r>
                    <w:rPr>
                      <w:rFonts w:hAnsi="ＭＳ 明朝" w:cs="Arial" w:hint="eastAsia"/>
                    </w:rPr>
                    <w:t>契約件名</w:t>
                  </w:r>
                </w:p>
              </w:tc>
              <w:tc>
                <w:tcPr>
                  <w:tcW w:w="1905" w:type="dxa"/>
                  <w:tcBorders>
                    <w:top w:val="single" w:sz="4" w:space="0" w:color="auto"/>
                    <w:left w:val="single" w:sz="4" w:space="0" w:color="auto"/>
                    <w:bottom w:val="single" w:sz="4" w:space="0" w:color="auto"/>
                    <w:right w:val="single" w:sz="4" w:space="0" w:color="auto"/>
                  </w:tcBorders>
                  <w:vAlign w:val="center"/>
                  <w:hideMark/>
                </w:tcPr>
                <w:p w14:paraId="036575AF" w14:textId="77777777" w:rsidR="002C6EA5" w:rsidRDefault="002C6EA5" w:rsidP="001E37F9">
                  <w:pPr>
                    <w:framePr w:hSpace="142" w:wrap="around" w:vAnchor="text" w:hAnchor="margin" w:y="374"/>
                    <w:autoSpaceDE w:val="0"/>
                    <w:autoSpaceDN w:val="0"/>
                    <w:spacing w:line="300" w:lineRule="exact"/>
                    <w:jc w:val="center"/>
                    <w:rPr>
                      <w:rFonts w:hAnsi="ＭＳ 明朝" w:cs="Arial"/>
                    </w:rPr>
                  </w:pPr>
                  <w:r>
                    <w:rPr>
                      <w:rFonts w:hAnsi="ＭＳ 明朝" w:cs="Arial" w:hint="eastAsia"/>
                    </w:rPr>
                    <w:t>契約金額</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66064E8" w14:textId="77777777" w:rsidR="002C6EA5" w:rsidRDefault="002C6EA5" w:rsidP="001E37F9">
                  <w:pPr>
                    <w:framePr w:hSpace="142" w:wrap="around" w:vAnchor="text" w:hAnchor="margin" w:y="374"/>
                    <w:autoSpaceDE w:val="0"/>
                    <w:autoSpaceDN w:val="0"/>
                    <w:spacing w:line="300" w:lineRule="exact"/>
                    <w:jc w:val="center"/>
                    <w:rPr>
                      <w:rFonts w:hAnsi="ＭＳ 明朝" w:cs="Arial"/>
                    </w:rPr>
                  </w:pPr>
                  <w:r>
                    <w:rPr>
                      <w:rFonts w:hAnsi="ＭＳ 明朝" w:cs="Arial" w:hint="eastAsia"/>
                    </w:rPr>
                    <w:t>未精算額</w:t>
                  </w:r>
                </w:p>
              </w:tc>
            </w:tr>
            <w:tr w:rsidR="002C6EA5" w14:paraId="6585C4AB" w14:textId="77777777" w:rsidTr="00973149">
              <w:trPr>
                <w:trHeight w:val="572"/>
              </w:trPr>
              <w:tc>
                <w:tcPr>
                  <w:tcW w:w="1461" w:type="dxa"/>
                  <w:tcBorders>
                    <w:top w:val="single" w:sz="4" w:space="0" w:color="auto"/>
                    <w:left w:val="single" w:sz="4" w:space="0" w:color="auto"/>
                    <w:bottom w:val="single" w:sz="4" w:space="0" w:color="auto"/>
                    <w:right w:val="single" w:sz="4" w:space="0" w:color="auto"/>
                  </w:tcBorders>
                  <w:vAlign w:val="center"/>
                  <w:hideMark/>
                </w:tcPr>
                <w:p w14:paraId="37EF176C" w14:textId="77777777" w:rsidR="002C6EA5" w:rsidRDefault="002C6EA5" w:rsidP="001E37F9">
                  <w:pPr>
                    <w:framePr w:hSpace="142" w:wrap="around" w:vAnchor="text" w:hAnchor="margin" w:y="374"/>
                    <w:autoSpaceDE w:val="0"/>
                    <w:autoSpaceDN w:val="0"/>
                    <w:spacing w:line="300" w:lineRule="exact"/>
                    <w:jc w:val="center"/>
                    <w:rPr>
                      <w:rFonts w:hAnsi="ＭＳ 明朝" w:cs="Arial"/>
                    </w:rPr>
                  </w:pPr>
                  <w:r>
                    <w:rPr>
                      <w:rFonts w:hAnsi="ＭＳ 明朝" w:cs="Arial" w:hint="eastAsia"/>
                    </w:rPr>
                    <w:t>令和４年度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6A62511D" w14:textId="77777777" w:rsidR="002C6EA5" w:rsidRDefault="002C6EA5" w:rsidP="001E37F9">
                  <w:pPr>
                    <w:framePr w:hSpace="142" w:wrap="around" w:vAnchor="text" w:hAnchor="margin" w:y="374"/>
                    <w:autoSpaceDE w:val="0"/>
                    <w:autoSpaceDN w:val="0"/>
                    <w:spacing w:line="300" w:lineRule="exact"/>
                    <w:jc w:val="left"/>
                    <w:rPr>
                      <w:rFonts w:hAnsi="ＭＳ 明朝"/>
                      <w:strike/>
                    </w:rPr>
                  </w:pPr>
                  <w:r>
                    <w:rPr>
                      <w:rFonts w:hAnsi="ＭＳ 明朝" w:hint="eastAsia"/>
                    </w:rPr>
                    <w:t>暖房洗浄便座等取付工事</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8CEBF4B" w14:textId="77777777" w:rsidR="002C6EA5" w:rsidRDefault="002C6EA5" w:rsidP="001E37F9">
                  <w:pPr>
                    <w:framePr w:hSpace="142" w:wrap="around" w:vAnchor="text" w:hAnchor="margin" w:y="374"/>
                    <w:widowControl/>
                    <w:autoSpaceDE w:val="0"/>
                    <w:autoSpaceDN w:val="0"/>
                    <w:snapToGrid w:val="0"/>
                    <w:spacing w:line="300" w:lineRule="exact"/>
                    <w:ind w:leftChars="-67" w:left="-161"/>
                    <w:jc w:val="right"/>
                    <w:rPr>
                      <w:rFonts w:hAnsi="ＭＳ 明朝"/>
                    </w:rPr>
                  </w:pPr>
                  <w:r>
                    <w:rPr>
                      <w:rFonts w:hAnsi="ＭＳ 明朝" w:hint="eastAsia"/>
                    </w:rPr>
                    <w:t>449,900円</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E8D8075" w14:textId="77777777" w:rsidR="002C6EA5" w:rsidRDefault="002C6EA5" w:rsidP="001E37F9">
                  <w:pPr>
                    <w:framePr w:hSpace="142" w:wrap="around" w:vAnchor="text" w:hAnchor="margin" w:y="374"/>
                    <w:widowControl/>
                    <w:autoSpaceDE w:val="0"/>
                    <w:autoSpaceDN w:val="0"/>
                    <w:snapToGrid w:val="0"/>
                    <w:spacing w:line="300" w:lineRule="exact"/>
                    <w:ind w:leftChars="-67" w:left="-161"/>
                    <w:jc w:val="right"/>
                    <w:rPr>
                      <w:rFonts w:hAnsi="ＭＳ 明朝"/>
                    </w:rPr>
                  </w:pPr>
                  <w:r>
                    <w:rPr>
                      <w:rFonts w:hAnsi="ＭＳ 明朝" w:hint="eastAsia"/>
                    </w:rPr>
                    <w:t xml:space="preserve">449,900円 </w:t>
                  </w:r>
                </w:p>
              </w:tc>
            </w:tr>
          </w:tbl>
          <w:p w14:paraId="57D6CEDA" w14:textId="56693961" w:rsidR="002C6EA5" w:rsidRDefault="002C6EA5" w:rsidP="002C6EA5">
            <w:pPr>
              <w:autoSpaceDE w:val="0"/>
              <w:autoSpaceDN w:val="0"/>
              <w:spacing w:line="300" w:lineRule="exact"/>
              <w:rPr>
                <w:rFonts w:hAnsi="ＭＳ 明朝" w:cs="Arial"/>
              </w:rPr>
            </w:pPr>
            <w:r>
              <w:rPr>
                <w:rFonts w:hAnsi="ＭＳ 明朝" w:cs="Arial" w:hint="eastAsia"/>
              </w:rPr>
              <w:t xml:space="preserve">　</w:t>
            </w:r>
          </w:p>
          <w:p w14:paraId="66CA6F43" w14:textId="77777777" w:rsidR="002C6EA5" w:rsidRDefault="002C6EA5" w:rsidP="002C6EA5">
            <w:pPr>
              <w:autoSpaceDE w:val="0"/>
              <w:autoSpaceDN w:val="0"/>
              <w:spacing w:line="300" w:lineRule="exact"/>
              <w:rPr>
                <w:rFonts w:hAnsi="ＭＳ 明朝"/>
              </w:rPr>
            </w:pPr>
          </w:p>
          <w:p w14:paraId="2DDA6C50" w14:textId="439574F8" w:rsidR="002C6EA5" w:rsidRPr="00614675" w:rsidRDefault="002C6EA5" w:rsidP="002C6EA5">
            <w:pPr>
              <w:autoSpaceDE w:val="0"/>
              <w:autoSpaceDN w:val="0"/>
              <w:snapToGrid w:val="0"/>
              <w:spacing w:line="300" w:lineRule="exact"/>
              <w:rPr>
                <w:rFonts w:hAnsi="ＭＳ 明朝" w:cs="Arial"/>
              </w:rPr>
            </w:pPr>
          </w:p>
        </w:tc>
        <w:tc>
          <w:tcPr>
            <w:tcW w:w="8930" w:type="dxa"/>
          </w:tcPr>
          <w:p w14:paraId="0BD42993" w14:textId="77777777" w:rsidR="002C6EA5" w:rsidRPr="00522BA3" w:rsidRDefault="002C6EA5" w:rsidP="002C6EA5">
            <w:pPr>
              <w:autoSpaceDE w:val="0"/>
              <w:autoSpaceDN w:val="0"/>
              <w:spacing w:line="300" w:lineRule="exact"/>
              <w:rPr>
                <w:rFonts w:hAnsi="ＭＳ 明朝"/>
              </w:rPr>
            </w:pPr>
          </w:p>
          <w:p w14:paraId="78EEFCB1" w14:textId="75202D7E" w:rsidR="002C6EA5" w:rsidRPr="00614675" w:rsidRDefault="002C6EA5" w:rsidP="002C6EA5">
            <w:pPr>
              <w:autoSpaceDE w:val="0"/>
              <w:autoSpaceDN w:val="0"/>
              <w:spacing w:line="300" w:lineRule="exact"/>
              <w:ind w:firstLineChars="100" w:firstLine="240"/>
              <w:rPr>
                <w:rFonts w:hAnsi="ＭＳ 明朝"/>
              </w:rPr>
            </w:pPr>
            <w:r w:rsidRPr="00F152B2">
              <w:rPr>
                <w:rFonts w:hAnsi="ＭＳ 明朝" w:cs="Arial"/>
                <w:strike/>
                <w:noProof/>
                <w:shd w:val="pct15" w:color="auto" w:fill="FFFFFF"/>
              </w:rPr>
              <mc:AlternateContent>
                <mc:Choice Requires="wps">
                  <w:drawing>
                    <wp:anchor distT="45720" distB="45720" distL="114300" distR="114300" simplePos="0" relativeHeight="251664384" behindDoc="0" locked="0" layoutInCell="1" allowOverlap="1" wp14:anchorId="23973183" wp14:editId="2B04EE8C">
                      <wp:simplePos x="0" y="0"/>
                      <wp:positionH relativeFrom="column">
                        <wp:posOffset>25400</wp:posOffset>
                      </wp:positionH>
                      <wp:positionV relativeFrom="paragraph">
                        <wp:posOffset>568960</wp:posOffset>
                      </wp:positionV>
                      <wp:extent cx="5505450" cy="39528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952875"/>
                              </a:xfrm>
                              <a:prstGeom prst="rect">
                                <a:avLst/>
                              </a:prstGeom>
                              <a:solidFill>
                                <a:srgbClr val="FFFFFF"/>
                              </a:solidFill>
                              <a:ln w="6350">
                                <a:solidFill>
                                  <a:srgbClr val="000000"/>
                                </a:solidFill>
                                <a:prstDash val="dash"/>
                                <a:miter lim="800000"/>
                                <a:headEnd/>
                                <a:tailEnd/>
                              </a:ln>
                            </wps:spPr>
                            <wps:txbx>
                              <w:txbxContent>
                                <w:p w14:paraId="56E65A6B"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【大阪府財務諸表作成基準】</w:t>
                                  </w:r>
                                </w:p>
                                <w:p w14:paraId="5E27A199"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（固定資産の分類及び計上）</w:t>
                                  </w:r>
                                </w:p>
                                <w:p w14:paraId="316F458C"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第15条　固定資産の計上は次のとおりとする。</w:t>
                                  </w:r>
                                </w:p>
                                <w:p w14:paraId="14CBD2F8" w14:textId="77777777" w:rsidR="002C6EA5" w:rsidRPr="008D24AE" w:rsidRDefault="002C6EA5" w:rsidP="00F152B2">
                                  <w:pPr>
                                    <w:autoSpaceDE w:val="0"/>
                                    <w:autoSpaceDN w:val="0"/>
                                    <w:snapToGrid w:val="0"/>
                                    <w:spacing w:line="300" w:lineRule="exact"/>
                                    <w:ind w:leftChars="100" w:left="240"/>
                                    <w:rPr>
                                      <w:rFonts w:hAnsi="ＭＳ 明朝"/>
                                    </w:rPr>
                                  </w:pPr>
                                  <w:r w:rsidRPr="008D24AE">
                                    <w:rPr>
                                      <w:rFonts w:hAnsi="ＭＳ 明朝" w:hint="eastAsia"/>
                                    </w:rPr>
                                    <w:t>(7) 建設仮勘定</w:t>
                                  </w:r>
                                </w:p>
                                <w:p w14:paraId="6A693607" w14:textId="77777777" w:rsidR="002C6EA5" w:rsidRPr="008D24AE" w:rsidRDefault="002C6EA5" w:rsidP="00F152B2">
                                  <w:pPr>
                                    <w:autoSpaceDE w:val="0"/>
                                    <w:autoSpaceDN w:val="0"/>
                                    <w:snapToGrid w:val="0"/>
                                    <w:spacing w:line="300" w:lineRule="exact"/>
                                    <w:ind w:left="480" w:hangingChars="200" w:hanging="480"/>
                                    <w:rPr>
                                      <w:rFonts w:hAnsi="ＭＳ 明朝"/>
                                    </w:rPr>
                                  </w:pPr>
                                  <w:r w:rsidRPr="008D24AE">
                                    <w:rPr>
                                      <w:rFonts w:hAnsi="ＭＳ 明朝" w:hint="eastAsia"/>
                                    </w:rPr>
                                    <w:t xml:space="preserve">　　　行政活動の用に供する固定資産を取得する場合における支出及びその付随的支出を、資産が完成するまでの間、一時的に計上する。</w:t>
                                  </w:r>
                                </w:p>
                                <w:p w14:paraId="614AA4C0" w14:textId="77777777" w:rsidR="002C6EA5" w:rsidRPr="008D24AE" w:rsidRDefault="002C6EA5" w:rsidP="00F152B2">
                                  <w:pPr>
                                    <w:autoSpaceDE w:val="0"/>
                                    <w:autoSpaceDN w:val="0"/>
                                    <w:snapToGrid w:val="0"/>
                                    <w:spacing w:line="300" w:lineRule="exact"/>
                                    <w:ind w:left="240" w:hangingChars="100" w:hanging="240"/>
                                    <w:rPr>
                                      <w:rFonts w:hAnsi="ＭＳ 明朝"/>
                                    </w:rPr>
                                  </w:pPr>
                                </w:p>
                                <w:p w14:paraId="079F3D69"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【建設仮勘定取扱要領】</w:t>
                                  </w:r>
                                </w:p>
                                <w:p w14:paraId="03038897"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第４条　建設仮勘定は、公有財産要領第４条及び第５条に規定する取得年月日又は異動年月日をもって精算しなければならない。</w:t>
                                  </w:r>
                                </w:p>
                                <w:p w14:paraId="399BB91C"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２　前項に規定する精算と併せて、本資産勘定の額と同額の財産を公有財産台帳に登録しなければならない。</w:t>
                                  </w:r>
                                </w:p>
                                <w:p w14:paraId="2619401E" w14:textId="77777777" w:rsidR="002C6EA5" w:rsidRPr="008D24AE" w:rsidRDefault="002C6EA5" w:rsidP="00F152B2">
                                  <w:pPr>
                                    <w:autoSpaceDE w:val="0"/>
                                    <w:autoSpaceDN w:val="0"/>
                                    <w:snapToGrid w:val="0"/>
                                    <w:spacing w:line="300" w:lineRule="exact"/>
                                    <w:ind w:left="240" w:hangingChars="100" w:hanging="240"/>
                                    <w:rPr>
                                      <w:rFonts w:hAnsi="ＭＳ 明朝"/>
                                    </w:rPr>
                                  </w:pPr>
                                </w:p>
                                <w:p w14:paraId="31BD7A51" w14:textId="77777777" w:rsidR="002C6EA5" w:rsidRPr="008D24AE" w:rsidRDefault="002C6EA5" w:rsidP="00F152B2">
                                  <w:pPr>
                                    <w:autoSpaceDE w:val="0"/>
                                    <w:autoSpaceDN w:val="0"/>
                                    <w:snapToGrid w:val="0"/>
                                    <w:spacing w:line="300" w:lineRule="exact"/>
                                    <w:ind w:left="480" w:hangingChars="200" w:hanging="480"/>
                                    <w:rPr>
                                      <w:rFonts w:hAnsi="ＭＳ 明朝"/>
                                      <w:color w:val="000000"/>
                                    </w:rPr>
                                  </w:pPr>
                                  <w:r w:rsidRPr="008D24AE">
                                    <w:rPr>
                                      <w:rFonts w:hAnsi="ＭＳ 明朝" w:hint="eastAsia"/>
                                      <w:color w:val="000000"/>
                                    </w:rPr>
                                    <w:t>【大阪府公有財産台帳等処理要領】</w:t>
                                  </w:r>
                                </w:p>
                                <w:p w14:paraId="4D0A50D6" w14:textId="77777777" w:rsidR="002C6EA5" w:rsidRPr="008D24AE" w:rsidRDefault="002C6EA5" w:rsidP="00F152B2">
                                  <w:pPr>
                                    <w:autoSpaceDE w:val="0"/>
                                    <w:autoSpaceDN w:val="0"/>
                                    <w:snapToGrid w:val="0"/>
                                    <w:spacing w:line="300" w:lineRule="exact"/>
                                    <w:ind w:left="480" w:hangingChars="200" w:hanging="480"/>
                                    <w:rPr>
                                      <w:rFonts w:hAnsi="ＭＳ 明朝"/>
                                      <w:color w:val="000000"/>
                                    </w:rPr>
                                  </w:pPr>
                                  <w:r w:rsidRPr="008D24AE">
                                    <w:rPr>
                                      <w:rFonts w:hAnsi="ＭＳ 明朝" w:hint="eastAsia"/>
                                      <w:color w:val="000000"/>
                                    </w:rPr>
                                    <w:t>（台帳の異動登録）</w:t>
                                  </w:r>
                                </w:p>
                                <w:p w14:paraId="1FCC12A9" w14:textId="77777777" w:rsidR="002C6EA5" w:rsidRPr="008D24AE" w:rsidRDefault="002C6EA5" w:rsidP="00F152B2">
                                  <w:pPr>
                                    <w:autoSpaceDE w:val="0"/>
                                    <w:autoSpaceDN w:val="0"/>
                                    <w:snapToGrid w:val="0"/>
                                    <w:spacing w:line="300" w:lineRule="exact"/>
                                    <w:ind w:left="480" w:hangingChars="200" w:hanging="480"/>
                                    <w:rPr>
                                      <w:rFonts w:hAnsi="ＭＳ 明朝"/>
                                      <w:color w:val="000000"/>
                                    </w:rPr>
                                  </w:pPr>
                                  <w:r w:rsidRPr="008D24AE">
                                    <w:rPr>
                                      <w:rFonts w:hAnsi="ＭＳ 明朝" w:hint="eastAsia"/>
                                      <w:color w:val="000000"/>
                                    </w:rPr>
                                    <w:t>第５条</w:t>
                                  </w:r>
                                </w:p>
                                <w:p w14:paraId="72F4ACF7" w14:textId="77777777" w:rsidR="002C6EA5" w:rsidRDefault="002C6EA5" w:rsidP="00F152B2">
                                  <w:pPr>
                                    <w:autoSpaceDE w:val="0"/>
                                    <w:autoSpaceDN w:val="0"/>
                                    <w:snapToGrid w:val="0"/>
                                    <w:spacing w:line="300" w:lineRule="exact"/>
                                    <w:ind w:left="480" w:hangingChars="200" w:hanging="480"/>
                                    <w:rPr>
                                      <w:rFonts w:hAnsi="ＭＳ 明朝"/>
                                      <w:color w:val="000000"/>
                                    </w:rPr>
                                  </w:pPr>
                                  <w:r w:rsidRPr="008D24AE">
                                    <w:rPr>
                                      <w:rFonts w:hAnsi="ＭＳ 明朝" w:hint="eastAsia"/>
                                      <w:color w:val="000000"/>
                                    </w:rPr>
                                    <w:t>２　異動した財産については、次の各号に掲げる日を異動年月日とする。ま</w:t>
                                  </w:r>
                                </w:p>
                                <w:p w14:paraId="2F9C7C30" w14:textId="77777777" w:rsidR="002C6EA5" w:rsidRPr="0022602E" w:rsidRDefault="002C6EA5" w:rsidP="00F152B2">
                                  <w:pPr>
                                    <w:autoSpaceDE w:val="0"/>
                                    <w:autoSpaceDN w:val="0"/>
                                    <w:snapToGrid w:val="0"/>
                                    <w:spacing w:line="300" w:lineRule="exact"/>
                                    <w:ind w:leftChars="100" w:left="480" w:hangingChars="100" w:hanging="240"/>
                                    <w:rPr>
                                      <w:rFonts w:hAnsi="ＭＳ 明朝"/>
                                      <w:color w:val="000000"/>
                                    </w:rPr>
                                  </w:pPr>
                                  <w:r w:rsidRPr="0022602E">
                                    <w:rPr>
                                      <w:rFonts w:hAnsi="ＭＳ 明朝" w:hint="eastAsia"/>
                                      <w:color w:val="000000"/>
                                    </w:rPr>
                                    <w:t>た、第</w:t>
                                  </w:r>
                                  <w:r w:rsidRPr="0022602E">
                                    <w:rPr>
                                      <w:rFonts w:hAnsi="ＭＳ 明朝"/>
                                      <w:color w:val="000000"/>
                                    </w:rPr>
                                    <w:t>１</w:t>
                                  </w:r>
                                  <w:r w:rsidRPr="0022602E">
                                    <w:rPr>
                                      <w:rFonts w:hAnsi="ＭＳ 明朝" w:hint="eastAsia"/>
                                      <w:color w:val="000000"/>
                                    </w:rPr>
                                    <w:t>号（府以外からの取得の場合に限る。）及び第３号の場合において</w:t>
                                  </w:r>
                                </w:p>
                                <w:p w14:paraId="21550C0A" w14:textId="77777777" w:rsidR="002C6EA5" w:rsidRPr="008D24AE" w:rsidRDefault="002C6EA5" w:rsidP="00F152B2">
                                  <w:pPr>
                                    <w:autoSpaceDE w:val="0"/>
                                    <w:autoSpaceDN w:val="0"/>
                                    <w:snapToGrid w:val="0"/>
                                    <w:spacing w:line="300" w:lineRule="exact"/>
                                    <w:ind w:leftChars="100" w:left="480" w:hangingChars="100" w:hanging="240"/>
                                    <w:rPr>
                                      <w:rFonts w:hAnsi="ＭＳ 明朝"/>
                                      <w:color w:val="000000"/>
                                    </w:rPr>
                                  </w:pPr>
                                  <w:r w:rsidRPr="0022602E">
                                    <w:rPr>
                                      <w:rFonts w:hAnsi="ＭＳ 明朝" w:hint="eastAsia"/>
                                      <w:color w:val="000000"/>
                                    </w:rPr>
                                    <w:t>は、併</w:t>
                                  </w:r>
                                  <w:r w:rsidRPr="008D24AE">
                                    <w:rPr>
                                      <w:rFonts w:hAnsi="ＭＳ 明朝" w:hint="eastAsia"/>
                                      <w:color w:val="000000"/>
                                    </w:rPr>
                                    <w:t>せて取得年月日を登録する。</w:t>
                                  </w:r>
                                </w:p>
                                <w:p w14:paraId="56BBA3DD" w14:textId="77777777" w:rsidR="002C6EA5" w:rsidRDefault="002C6EA5" w:rsidP="00AF27D9">
                                  <w:pPr>
                                    <w:ind w:firstLineChars="100" w:firstLine="240"/>
                                  </w:pPr>
                                  <w:r w:rsidRPr="008D24AE">
                                    <w:rPr>
                                      <w:rFonts w:hAnsi="ＭＳ 明朝" w:hint="eastAsia"/>
                                      <w:color w:val="000000"/>
                                    </w:rPr>
                                    <w:t>(3)</w:t>
                                  </w:r>
                                  <w:r>
                                    <w:rPr>
                                      <w:rFonts w:hAnsi="ＭＳ 明朝"/>
                                      <w:color w:val="000000"/>
                                    </w:rPr>
                                    <w:t xml:space="preserve"> </w:t>
                                  </w:r>
                                  <w:r w:rsidRPr="008D24AE">
                                    <w:rPr>
                                      <w:rFonts w:hAnsi="ＭＳ 明朝" w:hint="eastAsia"/>
                                      <w:color w:val="000000"/>
                                    </w:rPr>
                                    <w:t>建物等の増改築等は、工事完了による引渡しの日。（以下略）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73183" id="_x0000_t202" coordsize="21600,21600" o:spt="202" path="m,l,21600r21600,l21600,xe">
                      <v:stroke joinstyle="miter"/>
                      <v:path gradientshapeok="t" o:connecttype="rect"/>
                    </v:shapetype>
                    <v:shape id="テキスト ボックス 2" o:spid="_x0000_s1026" type="#_x0000_t202" style="position:absolute;left:0;text-align:left;margin-left:2pt;margin-top:44.8pt;width:433.5pt;height:31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" strokeweight=".5pt">
                      <v:stroke dashstyle="dash"/>
                      <v:textbox>
                        <w:txbxContent>
                          <w:p w14:paraId="56E65A6B"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【大阪府財務諸表作成基準】</w:t>
                            </w:r>
                          </w:p>
                          <w:p w14:paraId="5E27A199"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（固定資産の分類及び計上）</w:t>
                            </w:r>
                          </w:p>
                          <w:p w14:paraId="316F458C"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第15条　固定資産の計上は次のとおりとする。</w:t>
                            </w:r>
                          </w:p>
                          <w:p w14:paraId="14CBD2F8" w14:textId="77777777" w:rsidR="002C6EA5" w:rsidRPr="008D24AE" w:rsidRDefault="002C6EA5" w:rsidP="00F152B2">
                            <w:pPr>
                              <w:autoSpaceDE w:val="0"/>
                              <w:autoSpaceDN w:val="0"/>
                              <w:snapToGrid w:val="0"/>
                              <w:spacing w:line="300" w:lineRule="exact"/>
                              <w:ind w:leftChars="100" w:left="240"/>
                              <w:rPr>
                                <w:rFonts w:hAnsi="ＭＳ 明朝"/>
                              </w:rPr>
                            </w:pPr>
                            <w:r w:rsidRPr="008D24AE">
                              <w:rPr>
                                <w:rFonts w:hAnsi="ＭＳ 明朝" w:hint="eastAsia"/>
                              </w:rPr>
                              <w:t>(7) 建設仮勘定</w:t>
                            </w:r>
                          </w:p>
                          <w:p w14:paraId="6A693607" w14:textId="77777777" w:rsidR="002C6EA5" w:rsidRPr="008D24AE" w:rsidRDefault="002C6EA5" w:rsidP="00F152B2">
                            <w:pPr>
                              <w:autoSpaceDE w:val="0"/>
                              <w:autoSpaceDN w:val="0"/>
                              <w:snapToGrid w:val="0"/>
                              <w:spacing w:line="300" w:lineRule="exact"/>
                              <w:ind w:left="480" w:hangingChars="200" w:hanging="480"/>
                              <w:rPr>
                                <w:rFonts w:hAnsi="ＭＳ 明朝"/>
                              </w:rPr>
                            </w:pPr>
                            <w:r w:rsidRPr="008D24AE">
                              <w:rPr>
                                <w:rFonts w:hAnsi="ＭＳ 明朝" w:hint="eastAsia"/>
                              </w:rPr>
                              <w:t xml:space="preserve">　　　行政活動の用に供する固定資産を取得する場合における支出及びその付随的支出を、資産が完成するまでの間、一時的に計上する。</w:t>
                            </w:r>
                          </w:p>
                          <w:p w14:paraId="614AA4C0" w14:textId="77777777" w:rsidR="002C6EA5" w:rsidRPr="008D24AE" w:rsidRDefault="002C6EA5" w:rsidP="00F152B2">
                            <w:pPr>
                              <w:autoSpaceDE w:val="0"/>
                              <w:autoSpaceDN w:val="0"/>
                              <w:snapToGrid w:val="0"/>
                              <w:spacing w:line="300" w:lineRule="exact"/>
                              <w:ind w:left="240" w:hangingChars="100" w:hanging="240"/>
                              <w:rPr>
                                <w:rFonts w:hAnsi="ＭＳ 明朝"/>
                              </w:rPr>
                            </w:pPr>
                          </w:p>
                          <w:p w14:paraId="079F3D69"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【建設仮勘定取扱要領】</w:t>
                            </w:r>
                          </w:p>
                          <w:p w14:paraId="03038897"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第４条　建設仮勘定は、公有財産要領第４条及び第５条に規定する取得年月日又は異動年月日をもって精算しなければならない。</w:t>
                            </w:r>
                          </w:p>
                          <w:p w14:paraId="399BB91C" w14:textId="77777777" w:rsidR="002C6EA5" w:rsidRPr="008D24AE" w:rsidRDefault="002C6EA5" w:rsidP="00F152B2">
                            <w:pPr>
                              <w:autoSpaceDE w:val="0"/>
                              <w:autoSpaceDN w:val="0"/>
                              <w:snapToGrid w:val="0"/>
                              <w:spacing w:line="300" w:lineRule="exact"/>
                              <w:ind w:left="240" w:hangingChars="100" w:hanging="240"/>
                              <w:rPr>
                                <w:rFonts w:hAnsi="ＭＳ 明朝"/>
                              </w:rPr>
                            </w:pPr>
                            <w:r w:rsidRPr="008D24AE">
                              <w:rPr>
                                <w:rFonts w:hAnsi="ＭＳ 明朝" w:hint="eastAsia"/>
                              </w:rPr>
                              <w:t>２　前項に規定する精算と併せて、本資産勘定の額と同額の財産を公有財産台帳に登録しなければならない。</w:t>
                            </w:r>
                          </w:p>
                          <w:p w14:paraId="2619401E" w14:textId="77777777" w:rsidR="002C6EA5" w:rsidRPr="008D24AE" w:rsidRDefault="002C6EA5" w:rsidP="00F152B2">
                            <w:pPr>
                              <w:autoSpaceDE w:val="0"/>
                              <w:autoSpaceDN w:val="0"/>
                              <w:snapToGrid w:val="0"/>
                              <w:spacing w:line="300" w:lineRule="exact"/>
                              <w:ind w:left="240" w:hangingChars="100" w:hanging="240"/>
                              <w:rPr>
                                <w:rFonts w:hAnsi="ＭＳ 明朝"/>
                              </w:rPr>
                            </w:pPr>
                          </w:p>
                          <w:p w14:paraId="31BD7A51" w14:textId="77777777" w:rsidR="002C6EA5" w:rsidRPr="008D24AE" w:rsidRDefault="002C6EA5" w:rsidP="00F152B2">
                            <w:pPr>
                              <w:autoSpaceDE w:val="0"/>
                              <w:autoSpaceDN w:val="0"/>
                              <w:snapToGrid w:val="0"/>
                              <w:spacing w:line="300" w:lineRule="exact"/>
                              <w:ind w:left="480" w:hangingChars="200" w:hanging="480"/>
                              <w:rPr>
                                <w:rFonts w:hAnsi="ＭＳ 明朝"/>
                                <w:color w:val="000000"/>
                              </w:rPr>
                            </w:pPr>
                            <w:r w:rsidRPr="008D24AE">
                              <w:rPr>
                                <w:rFonts w:hAnsi="ＭＳ 明朝" w:hint="eastAsia"/>
                                <w:color w:val="000000"/>
                              </w:rPr>
                              <w:t>【大阪府公有財産台帳等処理要領】</w:t>
                            </w:r>
                          </w:p>
                          <w:p w14:paraId="4D0A50D6" w14:textId="77777777" w:rsidR="002C6EA5" w:rsidRPr="008D24AE" w:rsidRDefault="002C6EA5" w:rsidP="00F152B2">
                            <w:pPr>
                              <w:autoSpaceDE w:val="0"/>
                              <w:autoSpaceDN w:val="0"/>
                              <w:snapToGrid w:val="0"/>
                              <w:spacing w:line="300" w:lineRule="exact"/>
                              <w:ind w:left="480" w:hangingChars="200" w:hanging="480"/>
                              <w:rPr>
                                <w:rFonts w:hAnsi="ＭＳ 明朝"/>
                                <w:color w:val="000000"/>
                              </w:rPr>
                            </w:pPr>
                            <w:r w:rsidRPr="008D24AE">
                              <w:rPr>
                                <w:rFonts w:hAnsi="ＭＳ 明朝" w:hint="eastAsia"/>
                                <w:color w:val="000000"/>
                              </w:rPr>
                              <w:t>（台帳の異動登録）</w:t>
                            </w:r>
                          </w:p>
                          <w:p w14:paraId="1FCC12A9" w14:textId="77777777" w:rsidR="002C6EA5" w:rsidRPr="008D24AE" w:rsidRDefault="002C6EA5" w:rsidP="00F152B2">
                            <w:pPr>
                              <w:autoSpaceDE w:val="0"/>
                              <w:autoSpaceDN w:val="0"/>
                              <w:snapToGrid w:val="0"/>
                              <w:spacing w:line="300" w:lineRule="exact"/>
                              <w:ind w:left="480" w:hangingChars="200" w:hanging="480"/>
                              <w:rPr>
                                <w:rFonts w:hAnsi="ＭＳ 明朝"/>
                                <w:color w:val="000000"/>
                              </w:rPr>
                            </w:pPr>
                            <w:r w:rsidRPr="008D24AE">
                              <w:rPr>
                                <w:rFonts w:hAnsi="ＭＳ 明朝" w:hint="eastAsia"/>
                                <w:color w:val="000000"/>
                              </w:rPr>
                              <w:t>第５条</w:t>
                            </w:r>
                          </w:p>
                          <w:p w14:paraId="72F4ACF7" w14:textId="77777777" w:rsidR="002C6EA5" w:rsidRDefault="002C6EA5" w:rsidP="00F152B2">
                            <w:pPr>
                              <w:autoSpaceDE w:val="0"/>
                              <w:autoSpaceDN w:val="0"/>
                              <w:snapToGrid w:val="0"/>
                              <w:spacing w:line="300" w:lineRule="exact"/>
                              <w:ind w:left="480" w:hangingChars="200" w:hanging="480"/>
                              <w:rPr>
                                <w:rFonts w:hAnsi="ＭＳ 明朝"/>
                                <w:color w:val="000000"/>
                              </w:rPr>
                            </w:pPr>
                            <w:r w:rsidRPr="008D24AE">
                              <w:rPr>
                                <w:rFonts w:hAnsi="ＭＳ 明朝" w:hint="eastAsia"/>
                                <w:color w:val="000000"/>
                              </w:rPr>
                              <w:t>２　異動した財産については、次の各号に掲げる日を異動年月日とする。ま</w:t>
                            </w:r>
                          </w:p>
                          <w:p w14:paraId="2F9C7C30" w14:textId="77777777" w:rsidR="002C6EA5" w:rsidRPr="0022602E" w:rsidRDefault="002C6EA5" w:rsidP="00F152B2">
                            <w:pPr>
                              <w:autoSpaceDE w:val="0"/>
                              <w:autoSpaceDN w:val="0"/>
                              <w:snapToGrid w:val="0"/>
                              <w:spacing w:line="300" w:lineRule="exact"/>
                              <w:ind w:leftChars="100" w:left="480" w:hangingChars="100" w:hanging="240"/>
                              <w:rPr>
                                <w:rFonts w:hAnsi="ＭＳ 明朝"/>
                                <w:color w:val="000000"/>
                              </w:rPr>
                            </w:pPr>
                            <w:r w:rsidRPr="0022602E">
                              <w:rPr>
                                <w:rFonts w:hAnsi="ＭＳ 明朝" w:hint="eastAsia"/>
                                <w:color w:val="000000"/>
                              </w:rPr>
                              <w:t>た、第</w:t>
                            </w:r>
                            <w:r w:rsidRPr="0022602E">
                              <w:rPr>
                                <w:rFonts w:hAnsi="ＭＳ 明朝"/>
                                <w:color w:val="000000"/>
                              </w:rPr>
                              <w:t>１</w:t>
                            </w:r>
                            <w:r w:rsidRPr="0022602E">
                              <w:rPr>
                                <w:rFonts w:hAnsi="ＭＳ 明朝" w:hint="eastAsia"/>
                                <w:color w:val="000000"/>
                              </w:rPr>
                              <w:t>号（府以外からの取得の場合に限る。）及び第３号の場合において</w:t>
                            </w:r>
                          </w:p>
                          <w:p w14:paraId="21550C0A" w14:textId="77777777" w:rsidR="002C6EA5" w:rsidRPr="008D24AE" w:rsidRDefault="002C6EA5" w:rsidP="00F152B2">
                            <w:pPr>
                              <w:autoSpaceDE w:val="0"/>
                              <w:autoSpaceDN w:val="0"/>
                              <w:snapToGrid w:val="0"/>
                              <w:spacing w:line="300" w:lineRule="exact"/>
                              <w:ind w:leftChars="100" w:left="480" w:hangingChars="100" w:hanging="240"/>
                              <w:rPr>
                                <w:rFonts w:hAnsi="ＭＳ 明朝"/>
                                <w:color w:val="000000"/>
                              </w:rPr>
                            </w:pPr>
                            <w:r w:rsidRPr="0022602E">
                              <w:rPr>
                                <w:rFonts w:hAnsi="ＭＳ 明朝" w:hint="eastAsia"/>
                                <w:color w:val="000000"/>
                              </w:rPr>
                              <w:t>は、併</w:t>
                            </w:r>
                            <w:r w:rsidRPr="008D24AE">
                              <w:rPr>
                                <w:rFonts w:hAnsi="ＭＳ 明朝" w:hint="eastAsia"/>
                                <w:color w:val="000000"/>
                              </w:rPr>
                              <w:t>せて取得年月日を登録する。</w:t>
                            </w:r>
                          </w:p>
                          <w:p w14:paraId="56BBA3DD" w14:textId="77777777" w:rsidR="002C6EA5" w:rsidRDefault="002C6EA5" w:rsidP="00AF27D9">
                            <w:pPr>
                              <w:ind w:firstLineChars="100" w:firstLine="240"/>
                            </w:pPr>
                            <w:r w:rsidRPr="008D24AE">
                              <w:rPr>
                                <w:rFonts w:hAnsi="ＭＳ 明朝" w:hint="eastAsia"/>
                                <w:color w:val="000000"/>
                              </w:rPr>
                              <w:t>(3)</w:t>
                            </w:r>
                            <w:r>
                              <w:rPr>
                                <w:rFonts w:hAnsi="ＭＳ 明朝"/>
                                <w:color w:val="000000"/>
                              </w:rPr>
                              <w:t xml:space="preserve"> </w:t>
                            </w:r>
                            <w:r w:rsidRPr="008D24AE">
                              <w:rPr>
                                <w:rFonts w:hAnsi="ＭＳ 明朝" w:hint="eastAsia"/>
                                <w:color w:val="000000"/>
                              </w:rPr>
                              <w:t>建物等の増改築等は、工事完了による引渡しの日。（以下略）</w:t>
                            </w:r>
                          </w:p>
                        </w:txbxContent>
                      </v:textbox>
                      <w10:wrap type="square"/>
                    </v:shape>
                  </w:pict>
                </mc:Fallback>
              </mc:AlternateContent>
            </w:r>
            <w:r w:rsidRPr="0022602E">
              <w:rPr>
                <w:rFonts w:hAnsi="ＭＳ 明朝" w:hint="eastAsia"/>
              </w:rPr>
              <w:t>検出事項について、速やかに是正措置を講じるとともに、原因を確認し、所属のチェック体制を強化する等、再発防止に向け必要な措置を講じられたい。</w:t>
            </w:r>
          </w:p>
        </w:tc>
      </w:tr>
      <w:tr w:rsidR="002E2D24" w:rsidRPr="00D82F4E" w14:paraId="59E75D4D" w14:textId="77777777" w:rsidTr="001E37F9">
        <w:trPr>
          <w:trHeight w:val="624"/>
        </w:trPr>
        <w:tc>
          <w:tcPr>
            <w:tcW w:w="20833" w:type="dxa"/>
            <w:gridSpan w:val="3"/>
            <w:shd w:val="clear" w:color="auto" w:fill="auto"/>
            <w:vAlign w:val="center"/>
          </w:tcPr>
          <w:p w14:paraId="3B918D52" w14:textId="6BED9932"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1E37F9">
        <w:trPr>
          <w:trHeight w:val="1889"/>
        </w:trPr>
        <w:tc>
          <w:tcPr>
            <w:tcW w:w="20833"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5" o:spid="_x0000_s1027"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58CF7C83" w14:textId="77777777" w:rsidR="00B65270" w:rsidRPr="00E862CA" w:rsidRDefault="00B65270" w:rsidP="00B65270">
            <w:pPr>
              <w:widowControl/>
              <w:autoSpaceDE w:val="0"/>
              <w:autoSpaceDN w:val="0"/>
              <w:spacing w:line="300" w:lineRule="exact"/>
              <w:ind w:firstLineChars="100" w:firstLine="240"/>
              <w:rPr>
                <w:rFonts w:hAnsi="ＭＳ 明朝"/>
              </w:rPr>
            </w:pPr>
            <w:r w:rsidRPr="00E862CA">
              <w:rPr>
                <w:rFonts w:hAnsi="ＭＳ 明朝" w:hint="eastAsia"/>
              </w:rPr>
              <w:t>過年度の建設仮勘定精算は所属では行えないため、会計局会計指導課に修正を依頼し、本資産勘定への精算処理を行った。</w:t>
            </w:r>
          </w:p>
          <w:p w14:paraId="2AE89B36" w14:textId="77777777" w:rsidR="00B65270" w:rsidRDefault="00B65270" w:rsidP="00B65270">
            <w:pPr>
              <w:widowControl/>
              <w:autoSpaceDE w:val="0"/>
              <w:autoSpaceDN w:val="0"/>
              <w:spacing w:line="300" w:lineRule="exact"/>
              <w:ind w:firstLineChars="100" w:firstLine="240"/>
              <w:rPr>
                <w:rFonts w:hAnsi="ＭＳ 明朝"/>
              </w:rPr>
            </w:pPr>
            <w:r w:rsidRPr="00E862CA">
              <w:rPr>
                <w:rFonts w:hAnsi="ＭＳ 明朝" w:hint="eastAsia"/>
              </w:rPr>
              <w:t>また、資産となるものについては、公有財産台帳の修正を行った。</w:t>
            </w:r>
          </w:p>
          <w:p w14:paraId="0117D6B9" w14:textId="04E28648" w:rsidR="00C8796C" w:rsidRPr="002C6EA5" w:rsidRDefault="00C8796C" w:rsidP="00C8796C">
            <w:pPr>
              <w:widowControl/>
              <w:autoSpaceDE w:val="0"/>
              <w:autoSpaceDN w:val="0"/>
              <w:spacing w:line="300" w:lineRule="exact"/>
              <w:rPr>
                <w:rFonts w:hAnsi="ＭＳ 明朝"/>
              </w:rPr>
            </w:pPr>
            <w:r>
              <w:rPr>
                <w:rFonts w:hAnsi="ＭＳ 明朝" w:hint="eastAsia"/>
              </w:rPr>
              <w:t xml:space="preserve">　検出事項の原因は、</w:t>
            </w:r>
            <w:r w:rsidR="002C6EA5">
              <w:rPr>
                <w:rFonts w:hAnsi="ＭＳ 明朝" w:hint="eastAsia"/>
              </w:rPr>
              <w:t>職員によるチェック体制の不備</w:t>
            </w:r>
            <w:r>
              <w:rPr>
                <w:rFonts w:hAnsi="ＭＳ 明朝" w:hint="eastAsia"/>
              </w:rPr>
              <w:t>にある。</w:t>
            </w:r>
          </w:p>
          <w:p w14:paraId="17F228FB" w14:textId="01463AEC" w:rsidR="00C8796C" w:rsidRPr="00761AF7" w:rsidRDefault="00C8796C" w:rsidP="00C8796C">
            <w:pPr>
              <w:widowControl/>
              <w:autoSpaceDE w:val="0"/>
              <w:autoSpaceDN w:val="0"/>
              <w:spacing w:line="300" w:lineRule="exact"/>
              <w:rPr>
                <w:rFonts w:hAnsi="ＭＳ 明朝"/>
              </w:rPr>
            </w:pPr>
            <w:r>
              <w:rPr>
                <w:rFonts w:hAnsi="ＭＳ 明朝" w:hint="eastAsia"/>
              </w:rPr>
              <w:t xml:space="preserve">　</w:t>
            </w:r>
            <w:r w:rsidRPr="00656D46">
              <w:rPr>
                <w:rFonts w:hAnsi="ＭＳ 明朝" w:hint="eastAsia"/>
              </w:rPr>
              <w:t>再発防止に向けて、</w:t>
            </w:r>
            <w:r w:rsidR="00761AF7" w:rsidRPr="00656D46">
              <w:rPr>
                <w:rFonts w:hAnsi="ＭＳ 明朝" w:hint="eastAsia"/>
              </w:rPr>
              <w:t>複数の職員で公有財産台帳の登載状況について、定期的な確認を行うことにより、チェック体制を強化した</w:t>
            </w:r>
            <w:r w:rsidRPr="00656D46">
              <w:rPr>
                <w:rFonts w:hAnsi="ＭＳ 明朝" w:hint="eastAsia"/>
              </w:rPr>
              <w:t>。</w:t>
            </w:r>
          </w:p>
          <w:p w14:paraId="027B5792" w14:textId="15BE4B7F" w:rsidR="002E2D24" w:rsidRPr="00B65270" w:rsidRDefault="00C8796C" w:rsidP="00B65270">
            <w:pPr>
              <w:widowControl/>
              <w:autoSpaceDE w:val="0"/>
              <w:autoSpaceDN w:val="0"/>
              <w:spacing w:line="300" w:lineRule="exact"/>
              <w:rPr>
                <w:rFonts w:hAnsi="ＭＳ 明朝"/>
              </w:rPr>
            </w:pPr>
            <w:r>
              <w:rPr>
                <w:rFonts w:hAnsi="ＭＳ 明朝" w:hint="eastAsia"/>
              </w:rPr>
              <w:t xml:space="preserve">　今後は、</w:t>
            </w:r>
            <w:r w:rsidR="00B65270" w:rsidRPr="008D24AE">
              <w:rPr>
                <w:rFonts w:hAnsi="ＭＳ 明朝" w:hint="eastAsia"/>
              </w:rPr>
              <w:t>大阪府財務諸表作成基準</w:t>
            </w:r>
            <w:r w:rsidR="00B65270">
              <w:rPr>
                <w:rFonts w:hAnsi="ＭＳ 明朝" w:hint="eastAsia"/>
              </w:rPr>
              <w:t>等</w:t>
            </w:r>
            <w:r w:rsidR="00761AF7">
              <w:rPr>
                <w:rFonts w:hAnsi="ＭＳ 明朝" w:hint="eastAsia"/>
              </w:rPr>
              <w:t>に基づき、</w:t>
            </w:r>
            <w:r>
              <w:rPr>
                <w:rFonts w:hAnsi="ＭＳ 明朝" w:hint="eastAsia"/>
              </w:rPr>
              <w:t>適正な事務処理を行う。</w:t>
            </w:r>
          </w:p>
        </w:tc>
      </w:tr>
    </w:tbl>
    <w:bookmarkEnd w:id="0"/>
    <w:p w14:paraId="05BD357B" w14:textId="7D044998" w:rsidR="0032402C" w:rsidRPr="00D82F4E" w:rsidRDefault="002C6EA5" w:rsidP="0032402C">
      <w:pPr>
        <w:rPr>
          <w:rFonts w:ascii="ＭＳ ゴシック" w:eastAsia="ＭＳ ゴシック" w:hAnsi="ＭＳ ゴシック" w:cs="Arial"/>
        </w:rPr>
      </w:pPr>
      <w:r w:rsidRPr="002C6EA5">
        <w:rPr>
          <w:rFonts w:ascii="ＭＳ ゴシック" w:eastAsia="ＭＳ ゴシック" w:hAnsi="ＭＳ ゴシック" w:hint="eastAsia"/>
          <w:szCs w:val="22"/>
        </w:rPr>
        <w:t>建設仮勘定の精算事務の不備</w:t>
      </w:r>
    </w:p>
    <w:p w14:paraId="46B970F2" w14:textId="3D76C097"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8B3331">
        <w:rPr>
          <w:rFonts w:ascii="ＭＳ ゴシック" w:eastAsia="ＭＳ ゴシック" w:hAnsi="ＭＳ ゴシック" w:hint="eastAsia"/>
        </w:rPr>
        <w:t>－年－月－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8B3331">
        <w:rPr>
          <w:rFonts w:ascii="ＭＳ ゴシック" w:eastAsia="ＭＳ ゴシック" w:hAnsi="ＭＳ ゴシック" w:hint="eastAsia"/>
        </w:rPr>
        <w:t>５年10月２</w:t>
      </w:r>
      <w:r w:rsidRPr="00D82F4E">
        <w:rPr>
          <w:rFonts w:ascii="ＭＳ ゴシック" w:eastAsia="ＭＳ ゴシック" w:hAnsi="ＭＳ ゴシック" w:hint="eastAsia"/>
        </w:rPr>
        <w:t>日から</w:t>
      </w:r>
      <w:r>
        <w:rPr>
          <w:rFonts w:ascii="ＭＳ ゴシック" w:eastAsia="ＭＳ ゴシック" w:hAnsi="ＭＳ ゴシック" w:hint="eastAsia"/>
        </w:rPr>
        <w:t>令和</w:t>
      </w:r>
      <w:r w:rsidR="008B3331">
        <w:rPr>
          <w:rFonts w:ascii="ＭＳ ゴシック" w:eastAsia="ＭＳ ゴシック" w:hAnsi="ＭＳ ゴシック" w:hint="eastAsia"/>
        </w:rPr>
        <w:t>６年１月31</w:t>
      </w:r>
      <w:r w:rsidRPr="00D82F4E">
        <w:rPr>
          <w:rFonts w:ascii="ＭＳ ゴシック" w:eastAsia="ＭＳ ゴシック" w:hAnsi="ＭＳ ゴシック" w:hint="eastAsia"/>
        </w:rPr>
        <w:t>日まで）</w:t>
      </w:r>
    </w:p>
    <w:p w14:paraId="0FC7438A" w14:textId="284D4457" w:rsidR="00580955" w:rsidRPr="00902605" w:rsidRDefault="00580955" w:rsidP="00902605">
      <w:pPr>
        <w:spacing w:line="340" w:lineRule="exact"/>
        <w:jc w:val="left"/>
        <w:rPr>
          <w:rFonts w:hAnsi="ＭＳ 明朝"/>
          <w:color w:val="FF0000"/>
        </w:rPr>
      </w:pPr>
    </w:p>
    <w:sectPr w:rsidR="00580955" w:rsidRPr="00902605" w:rsidSect="002C6EA5">
      <w:type w:val="continuous"/>
      <w:pgSz w:w="23814" w:h="16839" w:orient="landscape" w:code="8"/>
      <w:pgMar w:top="2024" w:right="1701" w:bottom="1276"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75F4" w14:textId="77777777" w:rsidR="00296A5F" w:rsidRDefault="00296A5F">
      <w:r>
        <w:separator/>
      </w:r>
    </w:p>
  </w:endnote>
  <w:endnote w:type="continuationSeparator" w:id="0">
    <w:p w14:paraId="3D7A5D07" w14:textId="77777777" w:rsidR="00296A5F" w:rsidRDefault="0029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E522" w14:textId="77777777" w:rsidR="00296A5F" w:rsidRDefault="00296A5F">
      <w:r>
        <w:separator/>
      </w:r>
    </w:p>
  </w:footnote>
  <w:footnote w:type="continuationSeparator" w:id="0">
    <w:p w14:paraId="64B9335A" w14:textId="77777777" w:rsidR="00296A5F" w:rsidRDefault="00296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A506E"/>
    <w:rsid w:val="000B0612"/>
    <w:rsid w:val="000C433B"/>
    <w:rsid w:val="000D785D"/>
    <w:rsid w:val="0013558E"/>
    <w:rsid w:val="00173492"/>
    <w:rsid w:val="0018241A"/>
    <w:rsid w:val="001906A6"/>
    <w:rsid w:val="001C0E29"/>
    <w:rsid w:val="001C75F7"/>
    <w:rsid w:val="001D2313"/>
    <w:rsid w:val="001E37F9"/>
    <w:rsid w:val="001F41A1"/>
    <w:rsid w:val="002265B5"/>
    <w:rsid w:val="002309F6"/>
    <w:rsid w:val="002452AF"/>
    <w:rsid w:val="002654F1"/>
    <w:rsid w:val="00296A5F"/>
    <w:rsid w:val="002C1BBF"/>
    <w:rsid w:val="002C3117"/>
    <w:rsid w:val="002C6EA5"/>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955"/>
    <w:rsid w:val="00580F31"/>
    <w:rsid w:val="005B5070"/>
    <w:rsid w:val="005B7FFA"/>
    <w:rsid w:val="005F77A2"/>
    <w:rsid w:val="00607259"/>
    <w:rsid w:val="00614675"/>
    <w:rsid w:val="00620214"/>
    <w:rsid w:val="00646013"/>
    <w:rsid w:val="00654366"/>
    <w:rsid w:val="00656D46"/>
    <w:rsid w:val="00661527"/>
    <w:rsid w:val="00683F34"/>
    <w:rsid w:val="006C20B1"/>
    <w:rsid w:val="006C3E58"/>
    <w:rsid w:val="006D274A"/>
    <w:rsid w:val="006E4247"/>
    <w:rsid w:val="006F1898"/>
    <w:rsid w:val="006F69E3"/>
    <w:rsid w:val="00710947"/>
    <w:rsid w:val="00761AF7"/>
    <w:rsid w:val="007A5F99"/>
    <w:rsid w:val="008367CE"/>
    <w:rsid w:val="008A3695"/>
    <w:rsid w:val="008B1203"/>
    <w:rsid w:val="008B3331"/>
    <w:rsid w:val="008C6561"/>
    <w:rsid w:val="008E456F"/>
    <w:rsid w:val="00902605"/>
    <w:rsid w:val="009168D9"/>
    <w:rsid w:val="009A269E"/>
    <w:rsid w:val="009A5160"/>
    <w:rsid w:val="009B656A"/>
    <w:rsid w:val="009C25EC"/>
    <w:rsid w:val="009C582D"/>
    <w:rsid w:val="009D32BF"/>
    <w:rsid w:val="00A0336F"/>
    <w:rsid w:val="00A16E55"/>
    <w:rsid w:val="00A2413E"/>
    <w:rsid w:val="00A61C0E"/>
    <w:rsid w:val="00A63AD1"/>
    <w:rsid w:val="00AC06C6"/>
    <w:rsid w:val="00AD3CC1"/>
    <w:rsid w:val="00B33740"/>
    <w:rsid w:val="00B34563"/>
    <w:rsid w:val="00B65270"/>
    <w:rsid w:val="00B8526F"/>
    <w:rsid w:val="00B97919"/>
    <w:rsid w:val="00BB6193"/>
    <w:rsid w:val="00BD70E6"/>
    <w:rsid w:val="00C1611C"/>
    <w:rsid w:val="00C22A3A"/>
    <w:rsid w:val="00C2704A"/>
    <w:rsid w:val="00C37034"/>
    <w:rsid w:val="00C5182C"/>
    <w:rsid w:val="00C51F32"/>
    <w:rsid w:val="00C5548D"/>
    <w:rsid w:val="00C8796C"/>
    <w:rsid w:val="00CA0E19"/>
    <w:rsid w:val="00D0730B"/>
    <w:rsid w:val="00D261C9"/>
    <w:rsid w:val="00D50A07"/>
    <w:rsid w:val="00D60A83"/>
    <w:rsid w:val="00D660B8"/>
    <w:rsid w:val="00D82F4E"/>
    <w:rsid w:val="00DE47D6"/>
    <w:rsid w:val="00E15935"/>
    <w:rsid w:val="00E334F2"/>
    <w:rsid w:val="00E52236"/>
    <w:rsid w:val="00E53C48"/>
    <w:rsid w:val="00E53D58"/>
    <w:rsid w:val="00E57F30"/>
    <w:rsid w:val="00E8271E"/>
    <w:rsid w:val="00E862CA"/>
    <w:rsid w:val="00E86EA4"/>
    <w:rsid w:val="00E96BDD"/>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F39B9-6CE6-47C6-8B89-D3221602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2024-12-10T10:04:00Z</dcterms:created>
  <dcterms:modified xsi:type="dcterms:W3CDTF">2025-01-27T02:37:00Z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