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357B" w14:textId="27BF4B94" w:rsidR="0032402C" w:rsidRDefault="00E40C45" w:rsidP="0032402C">
      <w:pPr>
        <w:rPr>
          <w:rFonts w:ascii="ＭＳ ゴシック" w:eastAsia="ＭＳ ゴシック" w:hAnsi="ＭＳ ゴシック"/>
          <w:szCs w:val="22"/>
        </w:rPr>
      </w:pPr>
      <w:r w:rsidRPr="00456548">
        <w:rPr>
          <w:rFonts w:ascii="ＭＳ ゴシック" w:eastAsia="ＭＳ ゴシック" w:hAnsi="ＭＳ ゴシック" w:hint="eastAsia"/>
          <w:szCs w:val="22"/>
        </w:rPr>
        <w:t>行政財産使用料徴収の不備</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456548" w:rsidRPr="00D82F4E" w14:paraId="1E2A41C1" w14:textId="77777777" w:rsidTr="00205613">
        <w:trPr>
          <w:trHeight w:val="674"/>
        </w:trPr>
        <w:tc>
          <w:tcPr>
            <w:tcW w:w="2249" w:type="dxa"/>
            <w:shd w:val="clear" w:color="auto" w:fill="auto"/>
            <w:vAlign w:val="center"/>
          </w:tcPr>
          <w:p w14:paraId="2B6D7607" w14:textId="77777777" w:rsidR="00456548" w:rsidRPr="00614675" w:rsidRDefault="00456548" w:rsidP="00205613">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2155B819" w14:textId="77777777" w:rsidR="00456548" w:rsidRPr="00614675" w:rsidRDefault="00456548" w:rsidP="00205613">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70844A7B" w14:textId="77777777" w:rsidR="00456548" w:rsidRPr="00614675" w:rsidRDefault="00456548" w:rsidP="00205613">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456548" w:rsidRPr="00456548" w14:paraId="59DB319A" w14:textId="77777777" w:rsidTr="00205613">
        <w:trPr>
          <w:trHeight w:val="6961"/>
        </w:trPr>
        <w:tc>
          <w:tcPr>
            <w:tcW w:w="2249" w:type="dxa"/>
            <w:shd w:val="clear" w:color="auto" w:fill="auto"/>
          </w:tcPr>
          <w:p w14:paraId="56294056" w14:textId="77777777" w:rsidR="00456548" w:rsidRDefault="00456548" w:rsidP="00205613">
            <w:pPr>
              <w:autoSpaceDE w:val="0"/>
              <w:autoSpaceDN w:val="0"/>
              <w:spacing w:line="300" w:lineRule="exact"/>
              <w:rPr>
                <w:rFonts w:hAnsi="ＭＳ 明朝"/>
              </w:rPr>
            </w:pPr>
          </w:p>
          <w:p w14:paraId="0795F811" w14:textId="77777777" w:rsidR="00456548" w:rsidRPr="00456548" w:rsidRDefault="00456548" w:rsidP="00205613">
            <w:pPr>
              <w:autoSpaceDE w:val="0"/>
              <w:autoSpaceDN w:val="0"/>
              <w:spacing w:line="300" w:lineRule="exact"/>
              <w:rPr>
                <w:rFonts w:hAnsi="ＭＳ 明朝"/>
              </w:rPr>
            </w:pPr>
            <w:r w:rsidRPr="00456548">
              <w:rPr>
                <w:rFonts w:hAnsi="ＭＳ 明朝" w:hint="eastAsia"/>
              </w:rPr>
              <w:t>緑風冠高等学校</w:t>
            </w:r>
          </w:p>
          <w:p w14:paraId="1F5A48F8" w14:textId="77777777" w:rsidR="00456548" w:rsidRPr="00456548" w:rsidRDefault="00456548" w:rsidP="00205613">
            <w:pPr>
              <w:autoSpaceDE w:val="0"/>
              <w:autoSpaceDN w:val="0"/>
              <w:snapToGrid w:val="0"/>
              <w:spacing w:line="300" w:lineRule="exact"/>
              <w:rPr>
                <w:rFonts w:hAnsi="ＭＳ 明朝"/>
              </w:rPr>
            </w:pPr>
          </w:p>
          <w:p w14:paraId="65AE0CB0" w14:textId="77777777" w:rsidR="00456548" w:rsidRPr="00456548" w:rsidRDefault="00456548" w:rsidP="00205613">
            <w:pPr>
              <w:autoSpaceDE w:val="0"/>
              <w:autoSpaceDN w:val="0"/>
              <w:snapToGrid w:val="0"/>
              <w:spacing w:line="300" w:lineRule="exact"/>
              <w:rPr>
                <w:rFonts w:hAnsi="ＭＳ 明朝"/>
              </w:rPr>
            </w:pPr>
          </w:p>
        </w:tc>
        <w:tc>
          <w:tcPr>
            <w:tcW w:w="9654" w:type="dxa"/>
            <w:shd w:val="clear" w:color="auto" w:fill="auto"/>
          </w:tcPr>
          <w:p w14:paraId="6129976C" w14:textId="77777777" w:rsidR="00456548" w:rsidRPr="00456548" w:rsidRDefault="00456548" w:rsidP="00205613">
            <w:pPr>
              <w:autoSpaceDE w:val="0"/>
              <w:autoSpaceDN w:val="0"/>
              <w:snapToGrid w:val="0"/>
              <w:spacing w:line="300" w:lineRule="exact"/>
              <w:rPr>
                <w:rFonts w:hAnsi="ＭＳ 明朝" w:cs="Arial"/>
              </w:rPr>
            </w:pPr>
          </w:p>
          <w:p w14:paraId="13A3021F" w14:textId="77777777" w:rsidR="00456548" w:rsidRPr="00456548" w:rsidRDefault="00456548" w:rsidP="00205613">
            <w:pPr>
              <w:autoSpaceDE w:val="0"/>
              <w:autoSpaceDN w:val="0"/>
              <w:spacing w:line="300" w:lineRule="exact"/>
              <w:ind w:firstLineChars="100" w:firstLine="240"/>
              <w:rPr>
                <w:rFonts w:hAnsi="ＭＳ 明朝"/>
              </w:rPr>
            </w:pPr>
            <w:r w:rsidRPr="00456548">
              <w:rPr>
                <w:rFonts w:hAnsi="ＭＳ 明朝" w:hint="eastAsia"/>
              </w:rPr>
              <w:t>行政財産使用料について、「行政財産使用料及び普通財産貸付料の算定に関する取扱基準」に基づく逓増措置を適用せずに算出を誤っていたため、使用者からの使用料を過大に徴収していた。</w:t>
            </w:r>
          </w:p>
          <w:p w14:paraId="6F952AB6" w14:textId="77777777" w:rsidR="00456548" w:rsidRPr="00456548" w:rsidRDefault="00456548" w:rsidP="00205613">
            <w:pPr>
              <w:autoSpaceDE w:val="0"/>
              <w:autoSpaceDN w:val="0"/>
              <w:spacing w:line="300" w:lineRule="exact"/>
              <w:rPr>
                <w:rFonts w:hAnsi="ＭＳ 明朝"/>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083"/>
              <w:gridCol w:w="1211"/>
              <w:gridCol w:w="1587"/>
              <w:gridCol w:w="1361"/>
              <w:gridCol w:w="1361"/>
              <w:gridCol w:w="2154"/>
            </w:tblGrid>
            <w:tr w:rsidR="00456548" w:rsidRPr="00456548" w14:paraId="09D7B71F" w14:textId="77777777" w:rsidTr="00205613">
              <w:tc>
                <w:tcPr>
                  <w:tcW w:w="713" w:type="dxa"/>
                  <w:vMerge w:val="restart"/>
                  <w:shd w:val="clear" w:color="auto" w:fill="auto"/>
                  <w:vAlign w:val="center"/>
                </w:tcPr>
                <w:p w14:paraId="489484F3" w14:textId="77777777" w:rsidR="00456548" w:rsidRPr="00456548" w:rsidRDefault="00456548" w:rsidP="00205613">
                  <w:pPr>
                    <w:autoSpaceDE w:val="0"/>
                    <w:autoSpaceDN w:val="0"/>
                    <w:spacing w:line="300" w:lineRule="exact"/>
                    <w:rPr>
                      <w:rFonts w:hAnsi="ＭＳ 明朝"/>
                    </w:rPr>
                  </w:pPr>
                  <w:r w:rsidRPr="00456548">
                    <w:rPr>
                      <w:rFonts w:hAnsi="ＭＳ 明朝" w:hint="eastAsia"/>
                    </w:rPr>
                    <w:t>種別</w:t>
                  </w:r>
                </w:p>
              </w:tc>
              <w:tc>
                <w:tcPr>
                  <w:tcW w:w="1083" w:type="dxa"/>
                  <w:vMerge w:val="restart"/>
                  <w:shd w:val="clear" w:color="auto" w:fill="auto"/>
                  <w:vAlign w:val="center"/>
                </w:tcPr>
                <w:p w14:paraId="04BD296F" w14:textId="77777777" w:rsidR="00456548" w:rsidRPr="00456548" w:rsidRDefault="00456548" w:rsidP="00205613">
                  <w:pPr>
                    <w:autoSpaceDE w:val="0"/>
                    <w:autoSpaceDN w:val="0"/>
                    <w:spacing w:line="300" w:lineRule="exact"/>
                    <w:ind w:left="-98"/>
                    <w:jc w:val="center"/>
                    <w:rPr>
                      <w:rFonts w:hAnsi="ＭＳ 明朝"/>
                    </w:rPr>
                  </w:pPr>
                  <w:r w:rsidRPr="00456548">
                    <w:rPr>
                      <w:rFonts w:hAnsi="ＭＳ 明朝" w:hint="eastAsia"/>
                    </w:rPr>
                    <w:t>許可</w:t>
                  </w:r>
                </w:p>
                <w:p w14:paraId="67EB41EB" w14:textId="77777777" w:rsidR="00456548" w:rsidRPr="00456548" w:rsidRDefault="00456548" w:rsidP="00205613">
                  <w:pPr>
                    <w:autoSpaceDE w:val="0"/>
                    <w:autoSpaceDN w:val="0"/>
                    <w:spacing w:line="300" w:lineRule="exact"/>
                    <w:ind w:left="-98"/>
                    <w:jc w:val="center"/>
                    <w:rPr>
                      <w:rFonts w:hAnsi="ＭＳ 明朝"/>
                    </w:rPr>
                  </w:pPr>
                  <w:r w:rsidRPr="00456548">
                    <w:rPr>
                      <w:rFonts w:hAnsi="ＭＳ 明朝" w:hint="eastAsia"/>
                    </w:rPr>
                    <w:t>数量</w:t>
                  </w:r>
                </w:p>
              </w:tc>
              <w:tc>
                <w:tcPr>
                  <w:tcW w:w="1211" w:type="dxa"/>
                  <w:vMerge w:val="restart"/>
                  <w:shd w:val="clear" w:color="auto" w:fill="auto"/>
                  <w:vAlign w:val="center"/>
                </w:tcPr>
                <w:p w14:paraId="474CAFDC" w14:textId="77777777" w:rsidR="00456548" w:rsidRPr="00456548" w:rsidRDefault="00456548" w:rsidP="00205613">
                  <w:pPr>
                    <w:widowControl/>
                    <w:autoSpaceDE w:val="0"/>
                    <w:autoSpaceDN w:val="0"/>
                    <w:spacing w:line="300" w:lineRule="exact"/>
                    <w:jc w:val="center"/>
                    <w:rPr>
                      <w:rFonts w:hAnsi="ＭＳ 明朝"/>
                    </w:rPr>
                  </w:pPr>
                  <w:r w:rsidRPr="00456548">
                    <w:rPr>
                      <w:rFonts w:hAnsi="ＭＳ 明朝" w:hint="eastAsia"/>
                    </w:rPr>
                    <w:t>目的</w:t>
                  </w:r>
                </w:p>
              </w:tc>
              <w:tc>
                <w:tcPr>
                  <w:tcW w:w="4309" w:type="dxa"/>
                  <w:gridSpan w:val="3"/>
                  <w:shd w:val="clear" w:color="auto" w:fill="auto"/>
                  <w:vAlign w:val="center"/>
                </w:tcPr>
                <w:p w14:paraId="64035C71"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年間使用料</w:t>
                  </w:r>
                </w:p>
              </w:tc>
              <w:tc>
                <w:tcPr>
                  <w:tcW w:w="2154" w:type="dxa"/>
                  <w:vMerge w:val="restart"/>
                  <w:shd w:val="clear" w:color="auto" w:fill="auto"/>
                  <w:vAlign w:val="center"/>
                </w:tcPr>
                <w:p w14:paraId="6FFE4CDD"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使用期間</w:t>
                  </w:r>
                </w:p>
              </w:tc>
            </w:tr>
            <w:tr w:rsidR="00456548" w:rsidRPr="00456548" w14:paraId="2C6475EA" w14:textId="77777777" w:rsidTr="00205613">
              <w:tc>
                <w:tcPr>
                  <w:tcW w:w="713" w:type="dxa"/>
                  <w:vMerge/>
                  <w:shd w:val="clear" w:color="auto" w:fill="auto"/>
                  <w:vAlign w:val="center"/>
                </w:tcPr>
                <w:p w14:paraId="3398C50D" w14:textId="77777777" w:rsidR="00456548" w:rsidRPr="00456548" w:rsidRDefault="00456548" w:rsidP="00205613">
                  <w:pPr>
                    <w:autoSpaceDE w:val="0"/>
                    <w:autoSpaceDN w:val="0"/>
                    <w:spacing w:line="300" w:lineRule="exact"/>
                    <w:rPr>
                      <w:rFonts w:hAnsi="ＭＳ 明朝"/>
                    </w:rPr>
                  </w:pPr>
                </w:p>
              </w:tc>
              <w:tc>
                <w:tcPr>
                  <w:tcW w:w="1083" w:type="dxa"/>
                  <w:vMerge/>
                  <w:shd w:val="clear" w:color="auto" w:fill="auto"/>
                  <w:vAlign w:val="center"/>
                </w:tcPr>
                <w:p w14:paraId="06CC64AF" w14:textId="77777777" w:rsidR="00456548" w:rsidRPr="00456548" w:rsidRDefault="00456548" w:rsidP="00205613">
                  <w:pPr>
                    <w:autoSpaceDE w:val="0"/>
                    <w:autoSpaceDN w:val="0"/>
                    <w:spacing w:line="300" w:lineRule="exact"/>
                    <w:ind w:left="-98"/>
                    <w:jc w:val="center"/>
                    <w:rPr>
                      <w:rFonts w:hAnsi="ＭＳ 明朝"/>
                    </w:rPr>
                  </w:pPr>
                </w:p>
              </w:tc>
              <w:tc>
                <w:tcPr>
                  <w:tcW w:w="1211" w:type="dxa"/>
                  <w:vMerge/>
                  <w:shd w:val="clear" w:color="auto" w:fill="auto"/>
                  <w:vAlign w:val="center"/>
                </w:tcPr>
                <w:p w14:paraId="6A3F42B2" w14:textId="77777777" w:rsidR="00456548" w:rsidRPr="00456548" w:rsidRDefault="00456548" w:rsidP="00205613">
                  <w:pPr>
                    <w:widowControl/>
                    <w:autoSpaceDE w:val="0"/>
                    <w:autoSpaceDN w:val="0"/>
                    <w:spacing w:line="300" w:lineRule="exact"/>
                    <w:jc w:val="center"/>
                    <w:rPr>
                      <w:rFonts w:hAnsi="ＭＳ 明朝"/>
                    </w:rPr>
                  </w:pPr>
                </w:p>
              </w:tc>
              <w:tc>
                <w:tcPr>
                  <w:tcW w:w="1587" w:type="dxa"/>
                  <w:shd w:val="clear" w:color="auto" w:fill="auto"/>
                  <w:vAlign w:val="center"/>
                </w:tcPr>
                <w:p w14:paraId="17EE9E8D"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誤</w:t>
                  </w:r>
                </w:p>
                <w:p w14:paraId="384552AD" w14:textId="77777777" w:rsidR="00456548" w:rsidRPr="00456548" w:rsidRDefault="00456548" w:rsidP="00205613">
                  <w:pPr>
                    <w:autoSpaceDE w:val="0"/>
                    <w:autoSpaceDN w:val="0"/>
                    <w:spacing w:line="300" w:lineRule="exact"/>
                    <w:rPr>
                      <w:rFonts w:hAnsi="ＭＳ 明朝"/>
                    </w:rPr>
                  </w:pPr>
                  <w:r w:rsidRPr="00456548">
                    <w:rPr>
                      <w:rFonts w:hAnsi="ＭＳ 明朝" w:hint="eastAsia"/>
                    </w:rPr>
                    <w:t>（既収納額）</w:t>
                  </w:r>
                </w:p>
              </w:tc>
              <w:tc>
                <w:tcPr>
                  <w:tcW w:w="1361" w:type="dxa"/>
                  <w:shd w:val="clear" w:color="auto" w:fill="auto"/>
                  <w:vAlign w:val="center"/>
                </w:tcPr>
                <w:p w14:paraId="56818D50"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正</w:t>
                  </w:r>
                </w:p>
              </w:tc>
              <w:tc>
                <w:tcPr>
                  <w:tcW w:w="1361" w:type="dxa"/>
                  <w:shd w:val="clear" w:color="auto" w:fill="auto"/>
                  <w:vAlign w:val="center"/>
                </w:tcPr>
                <w:p w14:paraId="4317276E"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超過額</w:t>
                  </w:r>
                </w:p>
              </w:tc>
              <w:tc>
                <w:tcPr>
                  <w:tcW w:w="2154" w:type="dxa"/>
                  <w:vMerge/>
                  <w:shd w:val="clear" w:color="auto" w:fill="auto"/>
                  <w:vAlign w:val="center"/>
                </w:tcPr>
                <w:p w14:paraId="6A5079FB" w14:textId="77777777" w:rsidR="00456548" w:rsidRPr="00456548" w:rsidRDefault="00456548" w:rsidP="00205613">
                  <w:pPr>
                    <w:autoSpaceDE w:val="0"/>
                    <w:autoSpaceDN w:val="0"/>
                    <w:spacing w:line="300" w:lineRule="exact"/>
                    <w:jc w:val="center"/>
                    <w:rPr>
                      <w:rFonts w:hAnsi="ＭＳ 明朝"/>
                    </w:rPr>
                  </w:pPr>
                </w:p>
              </w:tc>
            </w:tr>
            <w:tr w:rsidR="00456548" w:rsidRPr="00456548" w14:paraId="039A97AC" w14:textId="77777777" w:rsidTr="00205613">
              <w:tc>
                <w:tcPr>
                  <w:tcW w:w="713" w:type="dxa"/>
                  <w:shd w:val="clear" w:color="auto" w:fill="auto"/>
                  <w:vAlign w:val="center"/>
                </w:tcPr>
                <w:p w14:paraId="250C62C8" w14:textId="77777777" w:rsidR="00456548" w:rsidRPr="00456548" w:rsidRDefault="00456548" w:rsidP="00205613">
                  <w:pPr>
                    <w:autoSpaceDE w:val="0"/>
                    <w:autoSpaceDN w:val="0"/>
                    <w:spacing w:line="300" w:lineRule="exact"/>
                    <w:rPr>
                      <w:rFonts w:hAnsi="ＭＳ 明朝"/>
                    </w:rPr>
                  </w:pPr>
                  <w:r w:rsidRPr="00456548">
                    <w:rPr>
                      <w:rFonts w:hAnsi="ＭＳ 明朝" w:hint="eastAsia"/>
                    </w:rPr>
                    <w:t>建物</w:t>
                  </w:r>
                </w:p>
              </w:tc>
              <w:tc>
                <w:tcPr>
                  <w:tcW w:w="1083" w:type="dxa"/>
                  <w:shd w:val="clear" w:color="auto" w:fill="auto"/>
                  <w:vAlign w:val="center"/>
                </w:tcPr>
                <w:p w14:paraId="67366526" w14:textId="77777777" w:rsidR="00456548" w:rsidRPr="00456548" w:rsidRDefault="00456548" w:rsidP="00205613">
                  <w:pPr>
                    <w:autoSpaceDE w:val="0"/>
                    <w:autoSpaceDN w:val="0"/>
                    <w:spacing w:line="300" w:lineRule="exact"/>
                    <w:ind w:left="-98"/>
                    <w:jc w:val="center"/>
                    <w:rPr>
                      <w:rFonts w:hAnsi="ＭＳ 明朝"/>
                    </w:rPr>
                  </w:pPr>
                  <w:r w:rsidRPr="00456548">
                    <w:rPr>
                      <w:rFonts w:hAnsi="ＭＳ 明朝" w:hint="eastAsia"/>
                      <w:kern w:val="0"/>
                    </w:rPr>
                    <w:t>4</w:t>
                  </w:r>
                  <w:r w:rsidRPr="00456548">
                    <w:rPr>
                      <w:rFonts w:hAnsi="ＭＳ 明朝"/>
                      <w:kern w:val="0"/>
                    </w:rPr>
                    <w:t>0.00</w:t>
                  </w:r>
                  <w:r w:rsidRPr="00456548">
                    <w:rPr>
                      <w:rFonts w:hAnsi="ＭＳ 明朝" w:hint="eastAsia"/>
                      <w:kern w:val="0"/>
                    </w:rPr>
                    <w:t>㎡</w:t>
                  </w:r>
                </w:p>
              </w:tc>
              <w:tc>
                <w:tcPr>
                  <w:tcW w:w="1211" w:type="dxa"/>
                  <w:shd w:val="clear" w:color="auto" w:fill="auto"/>
                  <w:vAlign w:val="center"/>
                </w:tcPr>
                <w:p w14:paraId="2CD3627C" w14:textId="77777777" w:rsidR="00456548" w:rsidRPr="00456548" w:rsidRDefault="00456548" w:rsidP="00205613">
                  <w:pPr>
                    <w:widowControl/>
                    <w:autoSpaceDE w:val="0"/>
                    <w:autoSpaceDN w:val="0"/>
                    <w:spacing w:line="300" w:lineRule="exact"/>
                    <w:jc w:val="center"/>
                    <w:rPr>
                      <w:rFonts w:hAnsi="ＭＳ 明朝"/>
                    </w:rPr>
                  </w:pPr>
                  <w:r w:rsidRPr="00456548">
                    <w:rPr>
                      <w:rFonts w:hAnsi="ＭＳ 明朝" w:hint="eastAsia"/>
                    </w:rPr>
                    <w:t>給品部</w:t>
                  </w:r>
                </w:p>
              </w:tc>
              <w:tc>
                <w:tcPr>
                  <w:tcW w:w="1587" w:type="dxa"/>
                  <w:shd w:val="clear" w:color="auto" w:fill="auto"/>
                  <w:vAlign w:val="center"/>
                </w:tcPr>
                <w:p w14:paraId="4475F64E" w14:textId="77777777" w:rsidR="00456548" w:rsidRPr="00456548" w:rsidRDefault="00456548" w:rsidP="00205613">
                  <w:pPr>
                    <w:autoSpaceDE w:val="0"/>
                    <w:autoSpaceDN w:val="0"/>
                    <w:spacing w:line="300" w:lineRule="exact"/>
                    <w:jc w:val="right"/>
                    <w:rPr>
                      <w:rFonts w:hAnsi="ＭＳ 明朝"/>
                    </w:rPr>
                  </w:pPr>
                  <w:r w:rsidRPr="00456548">
                    <w:rPr>
                      <w:rFonts w:hAnsi="ＭＳ 明朝" w:hint="eastAsia"/>
                    </w:rPr>
                    <w:t>96,800円</w:t>
                  </w:r>
                </w:p>
              </w:tc>
              <w:tc>
                <w:tcPr>
                  <w:tcW w:w="1361" w:type="dxa"/>
                  <w:shd w:val="clear" w:color="auto" w:fill="auto"/>
                  <w:vAlign w:val="center"/>
                </w:tcPr>
                <w:p w14:paraId="7C76DE35" w14:textId="77777777" w:rsidR="00456548" w:rsidRPr="00456548" w:rsidRDefault="00456548" w:rsidP="00205613">
                  <w:pPr>
                    <w:autoSpaceDE w:val="0"/>
                    <w:autoSpaceDN w:val="0"/>
                    <w:spacing w:line="300" w:lineRule="exact"/>
                    <w:jc w:val="right"/>
                    <w:rPr>
                      <w:rFonts w:hAnsi="ＭＳ 明朝"/>
                    </w:rPr>
                  </w:pPr>
                  <w:r w:rsidRPr="00456548">
                    <w:rPr>
                      <w:rFonts w:hAnsi="ＭＳ 明朝" w:hint="eastAsia"/>
                    </w:rPr>
                    <w:t>78,540円</w:t>
                  </w:r>
                </w:p>
              </w:tc>
              <w:tc>
                <w:tcPr>
                  <w:tcW w:w="1361" w:type="dxa"/>
                  <w:shd w:val="clear" w:color="auto" w:fill="auto"/>
                  <w:vAlign w:val="center"/>
                </w:tcPr>
                <w:p w14:paraId="77378938" w14:textId="77777777" w:rsidR="00456548" w:rsidRPr="00456548" w:rsidRDefault="00456548" w:rsidP="00205613">
                  <w:pPr>
                    <w:autoSpaceDE w:val="0"/>
                    <w:autoSpaceDN w:val="0"/>
                    <w:spacing w:line="300" w:lineRule="exact"/>
                    <w:jc w:val="right"/>
                    <w:rPr>
                      <w:rFonts w:hAnsi="ＭＳ 明朝"/>
                    </w:rPr>
                  </w:pPr>
                  <w:r w:rsidRPr="00456548">
                    <w:rPr>
                      <w:rFonts w:hAnsi="ＭＳ 明朝" w:hint="eastAsia"/>
                    </w:rPr>
                    <w:t>18,260円</w:t>
                  </w:r>
                </w:p>
              </w:tc>
              <w:tc>
                <w:tcPr>
                  <w:tcW w:w="2154" w:type="dxa"/>
                  <w:shd w:val="clear" w:color="auto" w:fill="auto"/>
                  <w:vAlign w:val="center"/>
                </w:tcPr>
                <w:p w14:paraId="28980DD3"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令和５年４月１日</w:t>
                  </w:r>
                </w:p>
                <w:p w14:paraId="6C572174"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から</w:t>
                  </w:r>
                </w:p>
                <w:p w14:paraId="65AB5C1E"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令和６年３月31日</w:t>
                  </w:r>
                </w:p>
                <w:p w14:paraId="79F9EA33" w14:textId="77777777" w:rsidR="00456548" w:rsidRPr="00456548" w:rsidRDefault="00456548" w:rsidP="00205613">
                  <w:pPr>
                    <w:autoSpaceDE w:val="0"/>
                    <w:autoSpaceDN w:val="0"/>
                    <w:spacing w:line="300" w:lineRule="exact"/>
                    <w:jc w:val="center"/>
                    <w:rPr>
                      <w:rFonts w:hAnsi="ＭＳ 明朝"/>
                    </w:rPr>
                  </w:pPr>
                  <w:r w:rsidRPr="00456548">
                    <w:rPr>
                      <w:rFonts w:hAnsi="ＭＳ 明朝" w:hint="eastAsia"/>
                    </w:rPr>
                    <w:t>まで</w:t>
                  </w:r>
                </w:p>
              </w:tc>
            </w:tr>
          </w:tbl>
          <w:p w14:paraId="5CB95FC0" w14:textId="77777777" w:rsidR="00456548" w:rsidRPr="00456548" w:rsidRDefault="00456548" w:rsidP="00205613">
            <w:pPr>
              <w:autoSpaceDE w:val="0"/>
              <w:autoSpaceDN w:val="0"/>
              <w:snapToGrid w:val="0"/>
              <w:spacing w:line="300" w:lineRule="exact"/>
              <w:rPr>
                <w:rFonts w:hAnsi="ＭＳ 明朝" w:cs="Arial"/>
              </w:rPr>
            </w:pPr>
          </w:p>
        </w:tc>
        <w:tc>
          <w:tcPr>
            <w:tcW w:w="8617" w:type="dxa"/>
            <w:shd w:val="clear" w:color="auto" w:fill="auto"/>
          </w:tcPr>
          <w:p w14:paraId="4E9B206A" w14:textId="77777777" w:rsidR="00456548" w:rsidRPr="00456548" w:rsidRDefault="00456548" w:rsidP="00205613">
            <w:pPr>
              <w:autoSpaceDE w:val="0"/>
              <w:autoSpaceDN w:val="0"/>
              <w:spacing w:line="300" w:lineRule="exact"/>
              <w:rPr>
                <w:rFonts w:hAnsi="ＭＳ 明朝"/>
              </w:rPr>
            </w:pPr>
          </w:p>
          <w:p w14:paraId="30377047" w14:textId="77777777" w:rsidR="00456548" w:rsidRPr="00456548" w:rsidRDefault="00456548" w:rsidP="00205613">
            <w:pPr>
              <w:autoSpaceDE w:val="0"/>
              <w:autoSpaceDN w:val="0"/>
              <w:spacing w:line="300" w:lineRule="exact"/>
              <w:rPr>
                <w:rFonts w:hAnsi="ＭＳ 明朝"/>
              </w:rPr>
            </w:pPr>
            <w:r w:rsidRPr="00456548">
              <w:rPr>
                <w:rFonts w:hAnsi="ＭＳ 明朝"/>
                <w:noProof/>
              </w:rPr>
              <mc:AlternateContent>
                <mc:Choice Requires="wps">
                  <w:drawing>
                    <wp:anchor distT="0" distB="0" distL="114300" distR="114300" simplePos="0" relativeHeight="251661312" behindDoc="0" locked="0" layoutInCell="1" allowOverlap="1" wp14:anchorId="5F3321F9" wp14:editId="47AB359B">
                      <wp:simplePos x="0" y="0"/>
                      <wp:positionH relativeFrom="column">
                        <wp:posOffset>-42545</wp:posOffset>
                      </wp:positionH>
                      <wp:positionV relativeFrom="paragraph">
                        <wp:posOffset>541655</wp:posOffset>
                      </wp:positionV>
                      <wp:extent cx="5410200" cy="252984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52984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C0D3EF2" w14:textId="77777777" w:rsidR="00456548" w:rsidRPr="00136870" w:rsidRDefault="00456548" w:rsidP="00456548">
                                  <w:pPr>
                                    <w:autoSpaceDE w:val="0"/>
                                    <w:autoSpaceDN w:val="0"/>
                                    <w:spacing w:line="300" w:lineRule="exact"/>
                                    <w:rPr>
                                      <w:rFonts w:hAnsi="ＭＳ 明朝"/>
                                    </w:rPr>
                                  </w:pPr>
                                  <w:r w:rsidRPr="00136870">
                                    <w:rPr>
                                      <w:rFonts w:hAnsi="ＭＳ 明朝" w:hint="eastAsia"/>
                                    </w:rPr>
                                    <w:t>【大阪府公有財産規則】</w:t>
                                  </w:r>
                                </w:p>
                                <w:p w14:paraId="63349EF5" w14:textId="77777777" w:rsidR="00456548" w:rsidRPr="00136870" w:rsidRDefault="00456548" w:rsidP="00456548">
                                  <w:pPr>
                                    <w:autoSpaceDE w:val="0"/>
                                    <w:autoSpaceDN w:val="0"/>
                                    <w:spacing w:line="300" w:lineRule="exact"/>
                                    <w:rPr>
                                      <w:rFonts w:hAnsi="ＭＳ 明朝"/>
                                    </w:rPr>
                                  </w:pPr>
                                  <w:r w:rsidRPr="00136870">
                                    <w:rPr>
                                      <w:rFonts w:hAnsi="ＭＳ 明朝" w:hint="eastAsia"/>
                                    </w:rPr>
                                    <w:t>(使用料)</w:t>
                                  </w:r>
                                </w:p>
                                <w:p w14:paraId="74C2FD0F"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第27条　前条の規定により難い場合における使用料の額の基準は、知事が別に定める。</w:t>
                                  </w:r>
                                </w:p>
                                <w:p w14:paraId="77732367" w14:textId="77777777" w:rsidR="00456548" w:rsidRPr="00136870" w:rsidRDefault="00456548" w:rsidP="00456548">
                                  <w:pPr>
                                    <w:autoSpaceDE w:val="0"/>
                                    <w:autoSpaceDN w:val="0"/>
                                    <w:spacing w:line="300" w:lineRule="exact"/>
                                    <w:ind w:left="240" w:hangingChars="100" w:hanging="240"/>
                                    <w:rPr>
                                      <w:rFonts w:hAnsi="ＭＳ 明朝"/>
                                    </w:rPr>
                                  </w:pPr>
                                </w:p>
                                <w:p w14:paraId="17222978"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【行政財産使用料及び普通財産貸付料の算定に関する取扱基準】</w:t>
                                  </w:r>
                                </w:p>
                                <w:p w14:paraId="149DAE99" w14:textId="77777777" w:rsidR="00456548" w:rsidRPr="00136870" w:rsidRDefault="00456548" w:rsidP="00456548">
                                  <w:pPr>
                                    <w:autoSpaceDE w:val="0"/>
                                    <w:autoSpaceDN w:val="0"/>
                                    <w:spacing w:line="300" w:lineRule="exact"/>
                                    <w:ind w:leftChars="100" w:left="240"/>
                                    <w:rPr>
                                      <w:rFonts w:hAnsi="ＭＳ 明朝"/>
                                    </w:rPr>
                                  </w:pPr>
                                  <w:r w:rsidRPr="00136870">
                                    <w:rPr>
                                      <w:rFonts w:hAnsi="ＭＳ 明朝" w:hint="eastAsia"/>
                                    </w:rPr>
                                    <w:t>（令和５年１月４日付け財活第</w:t>
                                  </w:r>
                                  <w:r w:rsidRPr="00B50687">
                                    <w:rPr>
                                      <w:rFonts w:hAnsi="ＭＳ 明朝" w:hint="eastAsia"/>
                                    </w:rPr>
                                    <w:t>1583</w:t>
                                  </w:r>
                                  <w:r w:rsidRPr="00136870">
                                    <w:rPr>
                                      <w:rFonts w:hAnsi="ＭＳ 明朝" w:hint="eastAsia"/>
                                    </w:rPr>
                                    <w:t>号　財務部長通知　別紙２）</w:t>
                                  </w:r>
                                </w:p>
                                <w:p w14:paraId="003FDA6F"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（各年度の使用料等の算定）</w:t>
                                  </w:r>
                                </w:p>
                                <w:p w14:paraId="2CAB864E"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第４　第３の適用範囲に属する使用許可又は貸付けに係る令和５年度における使用料等の額の算定は次による。</w:t>
                                  </w:r>
                                </w:p>
                                <w:p w14:paraId="4B4C17BB"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(1) 改定使用料又は改定貸付料の額が令和４年度の使用料又は貸付料に1.05を乗じた額を上回るときは、令和４年度の使用料又は貸付料に1.05を乗じた額を令和５年度の使用料又は貸付料の額とする。</w:t>
                                  </w:r>
                                  <w:r w:rsidRPr="00136870">
                                    <w:rPr>
                                      <w:rFonts w:hAnsi="ＭＳ 明朝" w:hint="eastAsia"/>
                                      <w:color w:val="000000"/>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321F9" id="_x0000_t202" coordsize="21600,21600" o:spt="202" path="m,l,21600r21600,l21600,xe">
                      <v:stroke joinstyle="miter"/>
                      <v:path gradientshapeok="t" o:connecttype="rect"/>
                    </v:shapetype>
                    <v:shape id="テキスト ボックス 2" o:spid="_x0000_s1026" type="#_x0000_t202" style="position:absolute;left:0;text-align:left;margin-left:-3.35pt;margin-top:42.65pt;width:426pt;height:1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" filled="f" strokeweight=".5pt">
                      <v:stroke dashstyle="dash"/>
                      <v:textbox inset="5.85pt,.7pt,5.85pt,.7pt">
                        <w:txbxContent>
                          <w:p w14:paraId="3C0D3EF2" w14:textId="77777777" w:rsidR="00456548" w:rsidRPr="00136870" w:rsidRDefault="00456548" w:rsidP="00456548">
                            <w:pPr>
                              <w:autoSpaceDE w:val="0"/>
                              <w:autoSpaceDN w:val="0"/>
                              <w:spacing w:line="300" w:lineRule="exact"/>
                              <w:rPr>
                                <w:rFonts w:hAnsi="ＭＳ 明朝"/>
                              </w:rPr>
                            </w:pPr>
                            <w:r w:rsidRPr="00136870">
                              <w:rPr>
                                <w:rFonts w:hAnsi="ＭＳ 明朝" w:hint="eastAsia"/>
                              </w:rPr>
                              <w:t>【大阪府公有財産規則】</w:t>
                            </w:r>
                          </w:p>
                          <w:p w14:paraId="63349EF5" w14:textId="77777777" w:rsidR="00456548" w:rsidRPr="00136870" w:rsidRDefault="00456548" w:rsidP="00456548">
                            <w:pPr>
                              <w:autoSpaceDE w:val="0"/>
                              <w:autoSpaceDN w:val="0"/>
                              <w:spacing w:line="300" w:lineRule="exact"/>
                              <w:rPr>
                                <w:rFonts w:hAnsi="ＭＳ 明朝"/>
                              </w:rPr>
                            </w:pPr>
                            <w:r w:rsidRPr="00136870">
                              <w:rPr>
                                <w:rFonts w:hAnsi="ＭＳ 明朝" w:hint="eastAsia"/>
                              </w:rPr>
                              <w:t>(使用料)</w:t>
                            </w:r>
                          </w:p>
                          <w:p w14:paraId="74C2FD0F"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第27条　前条の規定により難い場合における使用料の額の基準は、知事が別に定める。</w:t>
                            </w:r>
                          </w:p>
                          <w:p w14:paraId="77732367" w14:textId="77777777" w:rsidR="00456548" w:rsidRPr="00136870" w:rsidRDefault="00456548" w:rsidP="00456548">
                            <w:pPr>
                              <w:autoSpaceDE w:val="0"/>
                              <w:autoSpaceDN w:val="0"/>
                              <w:spacing w:line="300" w:lineRule="exact"/>
                              <w:ind w:left="240" w:hangingChars="100" w:hanging="240"/>
                              <w:rPr>
                                <w:rFonts w:hAnsi="ＭＳ 明朝"/>
                              </w:rPr>
                            </w:pPr>
                          </w:p>
                          <w:p w14:paraId="17222978"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【行政財産使用料及び普通財産貸付料の算定に関する取扱基準】</w:t>
                            </w:r>
                          </w:p>
                          <w:p w14:paraId="149DAE99" w14:textId="77777777" w:rsidR="00456548" w:rsidRPr="00136870" w:rsidRDefault="00456548" w:rsidP="00456548">
                            <w:pPr>
                              <w:autoSpaceDE w:val="0"/>
                              <w:autoSpaceDN w:val="0"/>
                              <w:spacing w:line="300" w:lineRule="exact"/>
                              <w:ind w:leftChars="100" w:left="240"/>
                              <w:rPr>
                                <w:rFonts w:hAnsi="ＭＳ 明朝"/>
                              </w:rPr>
                            </w:pPr>
                            <w:r w:rsidRPr="00136870">
                              <w:rPr>
                                <w:rFonts w:hAnsi="ＭＳ 明朝" w:hint="eastAsia"/>
                              </w:rPr>
                              <w:t>（令和５年１月４日付け財活第</w:t>
                            </w:r>
                            <w:r w:rsidRPr="00B50687">
                              <w:rPr>
                                <w:rFonts w:hAnsi="ＭＳ 明朝" w:hint="eastAsia"/>
                              </w:rPr>
                              <w:t>1583</w:t>
                            </w:r>
                            <w:r w:rsidRPr="00136870">
                              <w:rPr>
                                <w:rFonts w:hAnsi="ＭＳ 明朝" w:hint="eastAsia"/>
                              </w:rPr>
                              <w:t>号　財務部長通知　別紙２）</w:t>
                            </w:r>
                          </w:p>
                          <w:p w14:paraId="003FDA6F"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（各年度の使用料等の算定）</w:t>
                            </w:r>
                          </w:p>
                          <w:p w14:paraId="2CAB864E"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第４　第３の適用範囲に属する使用許可又は貸付けに係る令和５年度における使用料等の額の算定は次による。</w:t>
                            </w:r>
                          </w:p>
                          <w:p w14:paraId="4B4C17BB" w14:textId="77777777" w:rsidR="00456548" w:rsidRPr="00136870" w:rsidRDefault="00456548" w:rsidP="00456548">
                            <w:pPr>
                              <w:autoSpaceDE w:val="0"/>
                              <w:autoSpaceDN w:val="0"/>
                              <w:spacing w:line="300" w:lineRule="exact"/>
                              <w:ind w:left="240" w:hangingChars="100" w:hanging="240"/>
                              <w:rPr>
                                <w:rFonts w:hAnsi="ＭＳ 明朝"/>
                              </w:rPr>
                            </w:pPr>
                            <w:r w:rsidRPr="00136870">
                              <w:rPr>
                                <w:rFonts w:hAnsi="ＭＳ 明朝" w:hint="eastAsia"/>
                              </w:rPr>
                              <w:t>(1) 改定使用料又は改定貸付料の額が令和４年度の使用料又は貸付料に1.05を乗じた額を上回るときは、令和４年度の使用料又は貸付料に1.05を乗じた額を令和５年度の使用料又は貸付料の額とする。</w:t>
                            </w:r>
                            <w:r w:rsidRPr="00136870">
                              <w:rPr>
                                <w:rFonts w:hAnsi="ＭＳ 明朝" w:hint="eastAsia"/>
                                <w:color w:val="000000"/>
                              </w:rPr>
                              <w:t>（以下略）</w:t>
                            </w:r>
                          </w:p>
                        </w:txbxContent>
                      </v:textbox>
                    </v:shape>
                  </w:pict>
                </mc:Fallback>
              </mc:AlternateContent>
            </w:r>
            <w:r w:rsidRPr="00456548">
              <w:rPr>
                <w:rFonts w:hAnsi="ＭＳ 明朝" w:hint="eastAsia"/>
              </w:rPr>
              <w:t xml:space="preserve">　検出事項について、速やかに是正措置を講じるとともに、原因を確認し、所属のチェック体制を強化する等、再発防止に向け必要な措置を講じられたい。</w:t>
            </w:r>
          </w:p>
        </w:tc>
      </w:tr>
      <w:tr w:rsidR="00456548" w:rsidRPr="00456548" w14:paraId="3E0DE746" w14:textId="77777777" w:rsidTr="00205613">
        <w:trPr>
          <w:trHeight w:val="624"/>
        </w:trPr>
        <w:tc>
          <w:tcPr>
            <w:tcW w:w="20520" w:type="dxa"/>
            <w:gridSpan w:val="3"/>
            <w:shd w:val="clear" w:color="auto" w:fill="auto"/>
            <w:vAlign w:val="center"/>
          </w:tcPr>
          <w:p w14:paraId="490ACAAB" w14:textId="77777777" w:rsidR="00456548" w:rsidRPr="00456548" w:rsidRDefault="00456548" w:rsidP="00205613">
            <w:pPr>
              <w:autoSpaceDE w:val="0"/>
              <w:autoSpaceDN w:val="0"/>
              <w:spacing w:line="300" w:lineRule="exact"/>
              <w:jc w:val="center"/>
              <w:rPr>
                <w:rFonts w:hAnsi="ＭＳ 明朝"/>
              </w:rPr>
            </w:pPr>
            <w:r w:rsidRPr="00456548">
              <w:rPr>
                <w:rFonts w:ascii="ＭＳ Ｐゴシック" w:eastAsia="ＭＳ Ｐゴシック" w:hAnsi="ＭＳ Ｐゴシック" w:cs="Arial" w:hint="eastAsia"/>
              </w:rPr>
              <w:t>措置の内容</w:t>
            </w:r>
          </w:p>
        </w:tc>
      </w:tr>
      <w:tr w:rsidR="00456548" w:rsidRPr="00456548" w14:paraId="65F0BA97" w14:textId="77777777" w:rsidTr="00205613">
        <w:trPr>
          <w:trHeight w:val="841"/>
        </w:trPr>
        <w:tc>
          <w:tcPr>
            <w:tcW w:w="20520" w:type="dxa"/>
            <w:gridSpan w:val="3"/>
            <w:shd w:val="clear" w:color="auto" w:fill="auto"/>
          </w:tcPr>
          <w:p w14:paraId="366E4A83" w14:textId="77777777" w:rsidR="00456548" w:rsidRPr="00456548" w:rsidRDefault="00456548" w:rsidP="00205613">
            <w:pPr>
              <w:autoSpaceDE w:val="0"/>
              <w:autoSpaceDN w:val="0"/>
              <w:spacing w:line="300" w:lineRule="exact"/>
              <w:rPr>
                <w:rFonts w:hAnsi="ＭＳ 明朝"/>
              </w:rPr>
            </w:pPr>
            <w:r w:rsidRPr="00456548">
              <w:rPr>
                <w:rFonts w:hAnsi="ＭＳ 明朝"/>
                <w:noProof/>
              </w:rPr>
              <mc:AlternateContent>
                <mc:Choice Requires="wps">
                  <w:drawing>
                    <wp:anchor distT="0" distB="0" distL="114300" distR="114300" simplePos="0" relativeHeight="251660288" behindDoc="0" locked="0" layoutInCell="1" allowOverlap="1" wp14:anchorId="0E346795" wp14:editId="0B7684AA">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41374E67" w14:textId="77777777" w:rsidR="00456548" w:rsidRDefault="00456548" w:rsidP="00456548">
                                  <w:pPr>
                                    <w:jc w:val="center"/>
                                    <w:rPr>
                                      <w:rFonts w:ascii="BIZ UDPゴシック" w:eastAsia="BIZ UDPゴシック" w:hAnsi="BIZ UDPゴシック"/>
                                    </w:rPr>
                                  </w:pPr>
                                  <w:r>
                                    <w:rPr>
                                      <w:rFonts w:ascii="BIZ UDPゴシック" w:eastAsia="BIZ UDPゴシック" w:hAnsi="BIZ UDPゴシック" w:hint="eastAsia"/>
                                    </w:rPr>
                                    <w:t>ｖ</w:t>
                                  </w:r>
                                </w:p>
                                <w:p w14:paraId="01C7ADB9" w14:textId="77777777" w:rsidR="00456548" w:rsidRPr="004D5087" w:rsidRDefault="00456548" w:rsidP="0045654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46795" id="テキスト ボックス 5"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41374E67" w14:textId="77777777" w:rsidR="00456548" w:rsidRDefault="00456548" w:rsidP="00456548">
                            <w:pPr>
                              <w:jc w:val="center"/>
                              <w:rPr>
                                <w:rFonts w:ascii="BIZ UDPゴシック" w:eastAsia="BIZ UDPゴシック" w:hAnsi="BIZ UDPゴシック"/>
                              </w:rPr>
                            </w:pPr>
                            <w:r>
                              <w:rPr>
                                <w:rFonts w:ascii="BIZ UDPゴシック" w:eastAsia="BIZ UDPゴシック" w:hAnsi="BIZ UDPゴシック" w:hint="eastAsia"/>
                              </w:rPr>
                              <w:t>ｖ</w:t>
                            </w:r>
                          </w:p>
                          <w:p w14:paraId="01C7ADB9" w14:textId="77777777" w:rsidR="00456548" w:rsidRPr="004D5087" w:rsidRDefault="00456548" w:rsidP="0045654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sidRPr="00456548">
              <w:rPr>
                <w:rFonts w:hAnsi="ＭＳ 明朝"/>
                <w:noProof/>
              </w:rPr>
              <mc:AlternateContent>
                <mc:Choice Requires="wps">
                  <w:drawing>
                    <wp:anchor distT="0" distB="0" distL="114300" distR="114300" simplePos="0" relativeHeight="251659264" behindDoc="0" locked="0" layoutInCell="1" allowOverlap="1" wp14:anchorId="5CCC36D0" wp14:editId="215FA73A">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64603FB0" w14:textId="77777777" w:rsidR="00456548" w:rsidRDefault="00456548" w:rsidP="00456548">
                                  <w:pPr>
                                    <w:jc w:val="center"/>
                                    <w:rPr>
                                      <w:rFonts w:ascii="BIZ UDPゴシック" w:eastAsia="BIZ UDPゴシック" w:hAnsi="BIZ UDPゴシック"/>
                                    </w:rPr>
                                  </w:pPr>
                                </w:p>
                                <w:p w14:paraId="5B782698" w14:textId="77777777" w:rsidR="00456548" w:rsidRPr="004D5087" w:rsidRDefault="00456548" w:rsidP="0045654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36D0" id="テキスト ボックス 3" o:spid="_x0000_s1028" type="#_x0000_t202" style="position:absolute;left:0;text-align:left;margin-left:848.9pt;margin-top:335.05pt;width:222.7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">
                      <v:textbox inset="5.85pt,.7pt,5.85pt,.7pt">
                        <w:txbxContent>
                          <w:p w14:paraId="64603FB0" w14:textId="77777777" w:rsidR="00456548" w:rsidRDefault="00456548" w:rsidP="00456548">
                            <w:pPr>
                              <w:jc w:val="center"/>
                              <w:rPr>
                                <w:rFonts w:ascii="BIZ UDPゴシック" w:eastAsia="BIZ UDPゴシック" w:hAnsi="BIZ UDPゴシック"/>
                              </w:rPr>
                            </w:pPr>
                          </w:p>
                          <w:p w14:paraId="5B782698" w14:textId="77777777" w:rsidR="00456548" w:rsidRPr="004D5087" w:rsidRDefault="00456548" w:rsidP="0045654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402D5483" w14:textId="77777777" w:rsidR="00456548" w:rsidRPr="00456548" w:rsidRDefault="00456548" w:rsidP="00205613">
            <w:pPr>
              <w:widowControl/>
              <w:autoSpaceDE w:val="0"/>
              <w:autoSpaceDN w:val="0"/>
              <w:spacing w:line="300" w:lineRule="exact"/>
              <w:ind w:firstLineChars="100" w:firstLine="240"/>
              <w:rPr>
                <w:rFonts w:hAnsi="ＭＳ 明朝"/>
              </w:rPr>
            </w:pPr>
            <w:r w:rsidRPr="00456548">
              <w:rPr>
                <w:rFonts w:hAnsi="ＭＳ 明朝" w:hint="eastAsia"/>
              </w:rPr>
              <w:t>過大に徴収した使用料については、戻出処理を行い使用者に返金した。</w:t>
            </w:r>
          </w:p>
          <w:p w14:paraId="26100606" w14:textId="77777777" w:rsidR="00456548" w:rsidRPr="00456548" w:rsidRDefault="00456548" w:rsidP="00205613">
            <w:pPr>
              <w:widowControl/>
              <w:autoSpaceDE w:val="0"/>
              <w:autoSpaceDN w:val="0"/>
              <w:spacing w:line="300" w:lineRule="exact"/>
              <w:rPr>
                <w:rFonts w:hAnsi="ＭＳ 明朝"/>
              </w:rPr>
            </w:pPr>
            <w:r w:rsidRPr="00456548">
              <w:rPr>
                <w:rFonts w:hAnsi="ＭＳ 明朝" w:hint="eastAsia"/>
              </w:rPr>
              <w:t xml:space="preserve">　検出事項の原因は、「行政財産使用料及び普通財産貸付料の算定に関する取扱基準」に基づく逓増措置を、担当者及び事務室職員が十分に理解していなかったことにある。</w:t>
            </w:r>
          </w:p>
          <w:p w14:paraId="4FC3E540" w14:textId="77777777" w:rsidR="00456548" w:rsidRPr="00456548" w:rsidRDefault="00456548" w:rsidP="00205613">
            <w:pPr>
              <w:ind w:firstLineChars="100" w:firstLine="240"/>
              <w:rPr>
                <w:rFonts w:hAnsi="ＭＳ 明朝"/>
              </w:rPr>
            </w:pPr>
            <w:r w:rsidRPr="00456548">
              <w:rPr>
                <w:rFonts w:hAnsi="ＭＳ 明朝" w:hint="eastAsia"/>
              </w:rPr>
              <w:t>再発防止に向けて、担当者及び事務室職員に対し逓増措置について適切に実施するよう周知するとともに、行政財産使用料算出の際は複数の職員で確認を行うことによりチェック体制を強化した。</w:t>
            </w:r>
          </w:p>
          <w:p w14:paraId="293EB69F" w14:textId="77777777" w:rsidR="00456548" w:rsidRPr="00456548" w:rsidRDefault="00456548" w:rsidP="00205613">
            <w:pPr>
              <w:widowControl/>
              <w:autoSpaceDE w:val="0"/>
              <w:autoSpaceDN w:val="0"/>
              <w:spacing w:line="300" w:lineRule="exact"/>
              <w:rPr>
                <w:rFonts w:hAnsi="ＭＳ 明朝"/>
              </w:rPr>
            </w:pPr>
            <w:r w:rsidRPr="00456548">
              <w:rPr>
                <w:rFonts w:hAnsi="ＭＳ 明朝" w:hint="eastAsia"/>
              </w:rPr>
              <w:t xml:space="preserve">　今後は、「行政財産使用料及び普通財産貸付料の算定に関する取扱基準」に基づき、適正な事務処理を行う。</w:t>
            </w:r>
          </w:p>
        </w:tc>
      </w:tr>
    </w:tbl>
    <w:bookmarkEnd w:id="0"/>
    <w:p w14:paraId="46B970F2" w14:textId="33BC679D" w:rsidR="006C20B1" w:rsidRPr="00456548" w:rsidRDefault="006C3E58" w:rsidP="004D7741">
      <w:pPr>
        <w:spacing w:line="340" w:lineRule="exact"/>
        <w:jc w:val="right"/>
        <w:rPr>
          <w:rFonts w:ascii="ＭＳ ゴシック" w:eastAsia="ＭＳ ゴシック" w:hAnsi="ＭＳ ゴシック"/>
        </w:rPr>
      </w:pPr>
      <w:r w:rsidRPr="00456548">
        <w:rPr>
          <w:rFonts w:ascii="ＭＳ ゴシック" w:eastAsia="ＭＳ ゴシック" w:hAnsi="ＭＳ ゴシック" w:hint="eastAsia"/>
        </w:rPr>
        <w:t>監査（検査）実施年月日（委員：令和</w:t>
      </w:r>
      <w:r w:rsidR="00E40C45" w:rsidRPr="00456548">
        <w:rPr>
          <w:rFonts w:ascii="ＭＳ ゴシック" w:eastAsia="ＭＳ ゴシック" w:hAnsi="ＭＳ ゴシック" w:hint="eastAsia"/>
        </w:rPr>
        <w:t>－年－月－</w:t>
      </w:r>
      <w:r w:rsidRPr="00456548">
        <w:rPr>
          <w:rFonts w:ascii="ＭＳ ゴシック" w:eastAsia="ＭＳ ゴシック" w:hAnsi="ＭＳ ゴシック" w:hint="eastAsia"/>
        </w:rPr>
        <w:t>日、事務局：令和</w:t>
      </w:r>
      <w:r w:rsidR="00E40C45" w:rsidRPr="00456548">
        <w:rPr>
          <w:rFonts w:ascii="ＭＳ ゴシック" w:eastAsia="ＭＳ ゴシック" w:hAnsi="ＭＳ ゴシック" w:hint="eastAsia"/>
        </w:rPr>
        <w:t>５年10月２</w:t>
      </w:r>
      <w:r w:rsidRPr="00456548">
        <w:rPr>
          <w:rFonts w:ascii="ＭＳ ゴシック" w:eastAsia="ＭＳ ゴシック" w:hAnsi="ＭＳ ゴシック" w:hint="eastAsia"/>
        </w:rPr>
        <w:t>日から令和</w:t>
      </w:r>
      <w:r w:rsidR="00E40C45" w:rsidRPr="00456548">
        <w:rPr>
          <w:rFonts w:ascii="ＭＳ ゴシック" w:eastAsia="ＭＳ ゴシック" w:hAnsi="ＭＳ ゴシック" w:hint="eastAsia"/>
        </w:rPr>
        <w:t>６年１月31</w:t>
      </w:r>
      <w:r w:rsidRPr="00456548">
        <w:rPr>
          <w:rFonts w:ascii="ＭＳ ゴシック" w:eastAsia="ＭＳ ゴシック" w:hAnsi="ＭＳ ゴシック" w:hint="eastAsia"/>
        </w:rPr>
        <w:t>日まで）</w:t>
      </w:r>
    </w:p>
    <w:sectPr w:rsidR="006C20B1" w:rsidRPr="00456548"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DC73" w14:textId="77777777" w:rsidR="00C8343F" w:rsidRDefault="00C8343F">
      <w:r>
        <w:separator/>
      </w:r>
    </w:p>
  </w:endnote>
  <w:endnote w:type="continuationSeparator" w:id="0">
    <w:p w14:paraId="7867395A" w14:textId="77777777" w:rsidR="00C8343F" w:rsidRDefault="00C8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92A1" w14:textId="77777777" w:rsidR="00C8343F" w:rsidRDefault="00C8343F">
      <w:r>
        <w:separator/>
      </w:r>
    </w:p>
  </w:footnote>
  <w:footnote w:type="continuationSeparator" w:id="0">
    <w:p w14:paraId="17EE61C5" w14:textId="77777777" w:rsidR="00C8343F" w:rsidRDefault="00C8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73D5"/>
    <w:multiLevelType w:val="hybridMultilevel"/>
    <w:tmpl w:val="5B647EA4"/>
    <w:lvl w:ilvl="0" w:tplc="8818AC2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1C6F"/>
    <w:rsid w:val="000068A9"/>
    <w:rsid w:val="00042FDC"/>
    <w:rsid w:val="00050BCC"/>
    <w:rsid w:val="00054A08"/>
    <w:rsid w:val="00085EC0"/>
    <w:rsid w:val="00090541"/>
    <w:rsid w:val="00090F62"/>
    <w:rsid w:val="000A4624"/>
    <w:rsid w:val="000C3BD7"/>
    <w:rsid w:val="000C433B"/>
    <w:rsid w:val="000D2114"/>
    <w:rsid w:val="000D785D"/>
    <w:rsid w:val="00127C33"/>
    <w:rsid w:val="0013558E"/>
    <w:rsid w:val="00173492"/>
    <w:rsid w:val="0018241A"/>
    <w:rsid w:val="001906A6"/>
    <w:rsid w:val="001C0E29"/>
    <w:rsid w:val="001C75F7"/>
    <w:rsid w:val="001D09CA"/>
    <w:rsid w:val="001D2313"/>
    <w:rsid w:val="001F018A"/>
    <w:rsid w:val="001F41A1"/>
    <w:rsid w:val="002265B5"/>
    <w:rsid w:val="002309F6"/>
    <w:rsid w:val="002452AF"/>
    <w:rsid w:val="00254665"/>
    <w:rsid w:val="002654F1"/>
    <w:rsid w:val="002C1BBF"/>
    <w:rsid w:val="002C3117"/>
    <w:rsid w:val="002C31C5"/>
    <w:rsid w:val="002E2D24"/>
    <w:rsid w:val="00303A6D"/>
    <w:rsid w:val="0030787E"/>
    <w:rsid w:val="003169D5"/>
    <w:rsid w:val="00321B50"/>
    <w:rsid w:val="003234F1"/>
    <w:rsid w:val="00323C67"/>
    <w:rsid w:val="0032402C"/>
    <w:rsid w:val="00327B7A"/>
    <w:rsid w:val="00331CE4"/>
    <w:rsid w:val="0033337B"/>
    <w:rsid w:val="00335BCA"/>
    <w:rsid w:val="0033605C"/>
    <w:rsid w:val="00342058"/>
    <w:rsid w:val="00342C68"/>
    <w:rsid w:val="00361B7F"/>
    <w:rsid w:val="00366463"/>
    <w:rsid w:val="00367A5C"/>
    <w:rsid w:val="00385A32"/>
    <w:rsid w:val="003974BA"/>
    <w:rsid w:val="003A0413"/>
    <w:rsid w:val="003C37FB"/>
    <w:rsid w:val="003C658C"/>
    <w:rsid w:val="003C6C71"/>
    <w:rsid w:val="003F3713"/>
    <w:rsid w:val="0042366F"/>
    <w:rsid w:val="00425885"/>
    <w:rsid w:val="00442195"/>
    <w:rsid w:val="00446EDB"/>
    <w:rsid w:val="00456548"/>
    <w:rsid w:val="0046452E"/>
    <w:rsid w:val="0047132D"/>
    <w:rsid w:val="0049675E"/>
    <w:rsid w:val="004A2DBF"/>
    <w:rsid w:val="004A632F"/>
    <w:rsid w:val="004D7741"/>
    <w:rsid w:val="004D7B75"/>
    <w:rsid w:val="004E6204"/>
    <w:rsid w:val="004F4A04"/>
    <w:rsid w:val="00507CBA"/>
    <w:rsid w:val="00515B21"/>
    <w:rsid w:val="005203C3"/>
    <w:rsid w:val="005249BB"/>
    <w:rsid w:val="0054396A"/>
    <w:rsid w:val="0055438C"/>
    <w:rsid w:val="0055460C"/>
    <w:rsid w:val="00554B7F"/>
    <w:rsid w:val="0056466B"/>
    <w:rsid w:val="005667FF"/>
    <w:rsid w:val="005727C3"/>
    <w:rsid w:val="00580F31"/>
    <w:rsid w:val="005B5070"/>
    <w:rsid w:val="005B7FFA"/>
    <w:rsid w:val="005F4A8B"/>
    <w:rsid w:val="005F77A2"/>
    <w:rsid w:val="00607259"/>
    <w:rsid w:val="00614675"/>
    <w:rsid w:val="00620214"/>
    <w:rsid w:val="00646013"/>
    <w:rsid w:val="00654366"/>
    <w:rsid w:val="00665B7A"/>
    <w:rsid w:val="00683F34"/>
    <w:rsid w:val="00692B41"/>
    <w:rsid w:val="00693FCE"/>
    <w:rsid w:val="006C20B1"/>
    <w:rsid w:val="006C253A"/>
    <w:rsid w:val="006C3E58"/>
    <w:rsid w:val="006D274A"/>
    <w:rsid w:val="006E4247"/>
    <w:rsid w:val="006F1898"/>
    <w:rsid w:val="006F566B"/>
    <w:rsid w:val="006F69E3"/>
    <w:rsid w:val="00710947"/>
    <w:rsid w:val="00733DD9"/>
    <w:rsid w:val="007374D9"/>
    <w:rsid w:val="007806C2"/>
    <w:rsid w:val="007A5F99"/>
    <w:rsid w:val="00817888"/>
    <w:rsid w:val="008367CE"/>
    <w:rsid w:val="00854AEE"/>
    <w:rsid w:val="00893287"/>
    <w:rsid w:val="00894D36"/>
    <w:rsid w:val="00897CF9"/>
    <w:rsid w:val="008B1203"/>
    <w:rsid w:val="008C07C4"/>
    <w:rsid w:val="008C6561"/>
    <w:rsid w:val="008D613A"/>
    <w:rsid w:val="008E456F"/>
    <w:rsid w:val="009168D9"/>
    <w:rsid w:val="00955834"/>
    <w:rsid w:val="009A269E"/>
    <w:rsid w:val="009A5160"/>
    <w:rsid w:val="009B656A"/>
    <w:rsid w:val="009C25EC"/>
    <w:rsid w:val="009C582D"/>
    <w:rsid w:val="009D32BF"/>
    <w:rsid w:val="00A0336F"/>
    <w:rsid w:val="00A16E55"/>
    <w:rsid w:val="00A2413E"/>
    <w:rsid w:val="00A47D48"/>
    <w:rsid w:val="00A61C0E"/>
    <w:rsid w:val="00A63AD1"/>
    <w:rsid w:val="00A77CD7"/>
    <w:rsid w:val="00AC06C6"/>
    <w:rsid w:val="00AD3CC1"/>
    <w:rsid w:val="00AE5102"/>
    <w:rsid w:val="00B33740"/>
    <w:rsid w:val="00B34563"/>
    <w:rsid w:val="00B573C9"/>
    <w:rsid w:val="00B8526F"/>
    <w:rsid w:val="00B97919"/>
    <w:rsid w:val="00BB6193"/>
    <w:rsid w:val="00BD084D"/>
    <w:rsid w:val="00BD70E6"/>
    <w:rsid w:val="00C03A31"/>
    <w:rsid w:val="00C11DFC"/>
    <w:rsid w:val="00C15BBC"/>
    <w:rsid w:val="00C1611C"/>
    <w:rsid w:val="00C22A3A"/>
    <w:rsid w:val="00C25AF6"/>
    <w:rsid w:val="00C2704A"/>
    <w:rsid w:val="00C37034"/>
    <w:rsid w:val="00C5182C"/>
    <w:rsid w:val="00C51F32"/>
    <w:rsid w:val="00C53330"/>
    <w:rsid w:val="00C5548D"/>
    <w:rsid w:val="00C8343F"/>
    <w:rsid w:val="00C8796C"/>
    <w:rsid w:val="00C935F9"/>
    <w:rsid w:val="00CA0E19"/>
    <w:rsid w:val="00CC0A48"/>
    <w:rsid w:val="00D00063"/>
    <w:rsid w:val="00D25C57"/>
    <w:rsid w:val="00D261C9"/>
    <w:rsid w:val="00D60A83"/>
    <w:rsid w:val="00D660B8"/>
    <w:rsid w:val="00D75B56"/>
    <w:rsid w:val="00D82F4E"/>
    <w:rsid w:val="00DB688C"/>
    <w:rsid w:val="00DD4810"/>
    <w:rsid w:val="00DD70CC"/>
    <w:rsid w:val="00DE47D6"/>
    <w:rsid w:val="00DF0A28"/>
    <w:rsid w:val="00E15935"/>
    <w:rsid w:val="00E1719D"/>
    <w:rsid w:val="00E27AD2"/>
    <w:rsid w:val="00E334F2"/>
    <w:rsid w:val="00E33AB4"/>
    <w:rsid w:val="00E40C45"/>
    <w:rsid w:val="00E52236"/>
    <w:rsid w:val="00E53C48"/>
    <w:rsid w:val="00E53D58"/>
    <w:rsid w:val="00E57F30"/>
    <w:rsid w:val="00E8271E"/>
    <w:rsid w:val="00E86EA4"/>
    <w:rsid w:val="00E96BDD"/>
    <w:rsid w:val="00EE7C97"/>
    <w:rsid w:val="00EF54BE"/>
    <w:rsid w:val="00EF76C4"/>
    <w:rsid w:val="00F15D29"/>
    <w:rsid w:val="00F23667"/>
    <w:rsid w:val="00F42623"/>
    <w:rsid w:val="00F51125"/>
    <w:rsid w:val="00F5471A"/>
    <w:rsid w:val="00F704C2"/>
    <w:rsid w:val="00FB2703"/>
    <w:rsid w:val="00FE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9632DF-2B44-42E9-B035-CEEFEE4B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553</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2024-10-22T05:01:00Z</cp:lastPrinted>
  <dcterms:created xsi:type="dcterms:W3CDTF">2024-12-06T08:12:00Z</dcterms:created>
  <dcterms:modified xsi:type="dcterms:W3CDTF">2025-03-05T11:55:00Z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