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56"/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7624"/>
      </w:tblGrid>
      <w:tr w:rsidR="005E320D" w:rsidRPr="005E320D" w:rsidTr="001F357B">
        <w:trPr>
          <w:trHeight w:val="11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20D" w:rsidRPr="005E320D" w:rsidRDefault="005C72DC" w:rsidP="001F357B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RANGE!A1:E14"/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5E320D"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t>「大阪府ホームレスの自立の支援等に関する実施計画」</w:t>
            </w:r>
            <w:r w:rsidR="005E320D"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br/>
              <w:t>第</w:t>
            </w:r>
            <w:r w:rsidR="000A1207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t>４</w:t>
            </w:r>
            <w:r w:rsidR="005E320D"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t>期(</w:t>
            </w:r>
            <w:r w:rsidR="000F4C95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t>令和元年</w:t>
            </w:r>
            <w:r w:rsidR="005E320D"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8"/>
                <w:szCs w:val="28"/>
              </w:rPr>
              <w:t>度～令和5年度）施策評価調査票</w:t>
            </w:r>
            <w:bookmarkEnd w:id="0"/>
          </w:p>
        </w:tc>
      </w:tr>
      <w:tr w:rsidR="003525C3" w:rsidRPr="005E320D" w:rsidTr="001F357B">
        <w:trPr>
          <w:trHeight w:val="757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20D" w:rsidRPr="005E320D" w:rsidRDefault="005E320D" w:rsidP="001F357B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実施計画項目</w:t>
            </w:r>
          </w:p>
        </w:tc>
        <w:tc>
          <w:tcPr>
            <w:tcW w:w="3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683" w:rsidRPr="005E320D" w:rsidRDefault="00AD3052" w:rsidP="001F357B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AD305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第４　大阪府におけるホームレス自立支援施策に関する取り組み　【市町村】</w:t>
            </w:r>
          </w:p>
        </w:tc>
      </w:tr>
      <w:tr w:rsidR="00AD3052" w:rsidRPr="005E320D" w:rsidTr="001F357B">
        <w:trPr>
          <w:trHeight w:val="2270"/>
        </w:trPr>
        <w:tc>
          <w:tcPr>
            <w:tcW w:w="10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52" w:rsidRPr="00AD3052" w:rsidRDefault="00AD3052" w:rsidP="001F357B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AD305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 w:rsidRPr="00AD3052"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  <w:t>1）事業実績及び</w:t>
            </w:r>
          </w:p>
          <w:p w:rsidR="00AD3052" w:rsidRPr="005E320D" w:rsidRDefault="00AD3052" w:rsidP="001F357B">
            <w:pPr>
              <w:ind w:firstLineChars="300" w:firstLine="630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AD305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事業評価</w:t>
            </w:r>
          </w:p>
        </w:tc>
        <w:tc>
          <w:tcPr>
            <w:tcW w:w="390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52" w:rsidRPr="00D53F32" w:rsidRDefault="00AD3052" w:rsidP="001F357B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Cs w:val="21"/>
              </w:rPr>
            </w:pPr>
            <w:r w:rsidRPr="00D53F32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Cs w:val="21"/>
              </w:rPr>
              <w:t>【事業実績】</w:t>
            </w:r>
          </w:p>
          <w:p w:rsidR="00426C37" w:rsidRPr="00D53F32" w:rsidRDefault="001752C0" w:rsidP="001F357B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Cs w:val="21"/>
              </w:rPr>
            </w:pPr>
            <w:r w:rsidRPr="00D53F32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Cs w:val="21"/>
              </w:rPr>
              <w:t>○</w:t>
            </w:r>
            <w:r w:rsidR="00C31FB1" w:rsidRPr="00D53F32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Cs w:val="21"/>
              </w:rPr>
              <w:t>「</w:t>
            </w:r>
            <w:r w:rsidR="003C0AA5" w:rsidRPr="00D53F32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Cs w:val="21"/>
              </w:rPr>
              <w:t>大阪府ホームレスの自立の支援等に関する実施計画</w:t>
            </w:r>
            <w:r w:rsidR="00C31FB1" w:rsidRPr="00D53F32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Cs w:val="21"/>
              </w:rPr>
              <w:t>」</w:t>
            </w:r>
            <w:r w:rsidR="003C0AA5" w:rsidRPr="00D53F32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Cs w:val="21"/>
              </w:rPr>
              <w:t>に則して、平成30年度３月に見直した「大阪市ホームレスの自立の支援等に関する実施計画」（令和元年度～令和５年度）に基づき事業実施に取り組んだ。</w:t>
            </w:r>
          </w:p>
          <w:p w:rsidR="00D352F4" w:rsidRPr="00D53F32" w:rsidRDefault="001752C0" w:rsidP="001F357B">
            <w:pPr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D53F3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○</w:t>
            </w:r>
            <w:r w:rsidR="00D352F4" w:rsidRPr="00D53F3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予算額　　　　　　　　　　　　　　　　　　　　　　　　　　　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1161"/>
              <w:gridCol w:w="1161"/>
              <w:gridCol w:w="1161"/>
              <w:gridCol w:w="1161"/>
              <w:gridCol w:w="1161"/>
            </w:tblGrid>
            <w:tr w:rsidR="00D352F4" w:rsidRPr="00D53F32" w:rsidTr="003C037E">
              <w:trPr>
                <w:trHeight w:val="139"/>
              </w:trPr>
              <w:tc>
                <w:tcPr>
                  <w:tcW w:w="1470" w:type="dxa"/>
                  <w:vAlign w:val="center"/>
                </w:tcPr>
                <w:p w:rsidR="00D352F4" w:rsidRPr="00D53F32" w:rsidRDefault="00D352F4" w:rsidP="00F73A3D">
                  <w:pPr>
                    <w:framePr w:hSpace="142" w:wrap="around" w:vAnchor="page" w:hAnchor="margin" w:y="1156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 xml:space="preserve">　　　　　　　　　　　　　　　　　　　　　　　　　　　　　　</w:t>
                  </w:r>
                </w:p>
              </w:tc>
              <w:tc>
                <w:tcPr>
                  <w:tcW w:w="1161" w:type="dxa"/>
                  <w:vAlign w:val="center"/>
                </w:tcPr>
                <w:p w:rsidR="00D352F4" w:rsidRPr="00D53F32" w:rsidRDefault="003C037E" w:rsidP="00F73A3D">
                  <w:pPr>
                    <w:framePr w:hSpace="142" w:wrap="around" w:vAnchor="page" w:hAnchor="margin" w:y="1156"/>
                    <w:jc w:val="center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18"/>
                      <w:szCs w:val="21"/>
                    </w:rPr>
                    <w:t>令和元年度</w:t>
                  </w:r>
                </w:p>
              </w:tc>
              <w:tc>
                <w:tcPr>
                  <w:tcW w:w="1161" w:type="dxa"/>
                  <w:vAlign w:val="center"/>
                </w:tcPr>
                <w:p w:rsidR="00D352F4" w:rsidRPr="00D53F32" w:rsidRDefault="003C037E" w:rsidP="00F73A3D">
                  <w:pPr>
                    <w:framePr w:hSpace="142" w:wrap="around" w:vAnchor="page" w:hAnchor="margin" w:y="1156"/>
                    <w:jc w:val="center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２年度</w:t>
                  </w:r>
                </w:p>
              </w:tc>
              <w:tc>
                <w:tcPr>
                  <w:tcW w:w="1161" w:type="dxa"/>
                  <w:vAlign w:val="center"/>
                </w:tcPr>
                <w:p w:rsidR="00D352F4" w:rsidRPr="00D53F32" w:rsidRDefault="003C037E" w:rsidP="00F73A3D">
                  <w:pPr>
                    <w:framePr w:hSpace="142" w:wrap="around" w:vAnchor="page" w:hAnchor="margin" w:y="1156"/>
                    <w:jc w:val="center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３年度</w:t>
                  </w:r>
                </w:p>
              </w:tc>
              <w:tc>
                <w:tcPr>
                  <w:tcW w:w="1161" w:type="dxa"/>
                  <w:vAlign w:val="center"/>
                </w:tcPr>
                <w:p w:rsidR="00D352F4" w:rsidRPr="00D53F32" w:rsidRDefault="003C037E" w:rsidP="00F73A3D">
                  <w:pPr>
                    <w:framePr w:hSpace="142" w:wrap="around" w:vAnchor="page" w:hAnchor="margin" w:y="1156"/>
                    <w:jc w:val="center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４年度</w:t>
                  </w:r>
                </w:p>
              </w:tc>
              <w:tc>
                <w:tcPr>
                  <w:tcW w:w="1161" w:type="dxa"/>
                </w:tcPr>
                <w:p w:rsidR="00D352F4" w:rsidRPr="00D53F32" w:rsidRDefault="003C037E" w:rsidP="00F73A3D">
                  <w:pPr>
                    <w:framePr w:hSpace="142" w:wrap="around" w:vAnchor="page" w:hAnchor="margin" w:y="1156"/>
                    <w:jc w:val="center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５年度</w:t>
                  </w:r>
                </w:p>
              </w:tc>
            </w:tr>
            <w:tr w:rsidR="003C037E" w:rsidRPr="00D53F32" w:rsidTr="003C037E">
              <w:trPr>
                <w:trHeight w:val="308"/>
              </w:trPr>
              <w:tc>
                <w:tcPr>
                  <w:tcW w:w="1470" w:type="dxa"/>
                  <w:vAlign w:val="center"/>
                </w:tcPr>
                <w:p w:rsidR="003C037E" w:rsidRPr="00D53F32" w:rsidRDefault="003C037E" w:rsidP="00F73A3D">
                  <w:pPr>
                    <w:framePr w:hSpace="142" w:wrap="around" w:vAnchor="page" w:hAnchor="margin" w:y="1156"/>
                    <w:jc w:val="center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巡回相談</w:t>
                  </w:r>
                </w:p>
              </w:tc>
              <w:tc>
                <w:tcPr>
                  <w:tcW w:w="1161" w:type="dxa"/>
                  <w:vAlign w:val="center"/>
                </w:tcPr>
                <w:p w:rsidR="003C037E" w:rsidRPr="00D53F32" w:rsidRDefault="003C037E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96,581</w:t>
                  </w:r>
                </w:p>
              </w:tc>
              <w:tc>
                <w:tcPr>
                  <w:tcW w:w="1161" w:type="dxa"/>
                  <w:vAlign w:val="center"/>
                </w:tcPr>
                <w:p w:rsidR="003C037E" w:rsidRPr="00D53F32" w:rsidRDefault="003C037E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96,581</w:t>
                  </w:r>
                </w:p>
              </w:tc>
              <w:tc>
                <w:tcPr>
                  <w:tcW w:w="1161" w:type="dxa"/>
                  <w:vAlign w:val="center"/>
                </w:tcPr>
                <w:p w:rsidR="003C037E" w:rsidRPr="00D53F32" w:rsidRDefault="003C037E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96,808</w:t>
                  </w:r>
                </w:p>
              </w:tc>
              <w:tc>
                <w:tcPr>
                  <w:tcW w:w="1161" w:type="dxa"/>
                  <w:vAlign w:val="center"/>
                </w:tcPr>
                <w:p w:rsidR="003C037E" w:rsidRPr="00D53F32" w:rsidRDefault="003C037E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96,808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auto"/>
                  </w:tcBorders>
                  <w:vAlign w:val="center"/>
                </w:tcPr>
                <w:p w:rsidR="003C037E" w:rsidRPr="00D53F32" w:rsidRDefault="003C037E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96,808</w:t>
                  </w:r>
                </w:p>
              </w:tc>
            </w:tr>
            <w:tr w:rsidR="003C037E" w:rsidRPr="00D53F32" w:rsidTr="003C037E">
              <w:trPr>
                <w:trHeight w:val="125"/>
              </w:trPr>
              <w:tc>
                <w:tcPr>
                  <w:tcW w:w="1470" w:type="dxa"/>
                  <w:vAlign w:val="center"/>
                </w:tcPr>
                <w:p w:rsidR="003C037E" w:rsidRPr="00D53F32" w:rsidRDefault="003C037E" w:rsidP="00F73A3D">
                  <w:pPr>
                    <w:framePr w:hSpace="142" w:wrap="around" w:vAnchor="page" w:hAnchor="margin" w:y="1156"/>
                    <w:jc w:val="center"/>
                    <w:rPr>
                      <w:rFonts w:ascii="UD デジタル 教科書体 NP-R" w:eastAsia="UD デジタル 教科書体 NP-R" w:hAnsi="ＭＳ ゴシック" w:cs="Times New Roman"/>
                      <w:sz w:val="14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14"/>
                      <w:szCs w:val="16"/>
                    </w:rPr>
                    <w:t>自立支援センター</w:t>
                  </w:r>
                </w:p>
              </w:tc>
              <w:tc>
                <w:tcPr>
                  <w:tcW w:w="1161" w:type="dxa"/>
                  <w:vAlign w:val="center"/>
                </w:tcPr>
                <w:p w:rsidR="003C037E" w:rsidRPr="00D53F32" w:rsidRDefault="003C037E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163,084</w:t>
                  </w:r>
                </w:p>
              </w:tc>
              <w:tc>
                <w:tcPr>
                  <w:tcW w:w="1161" w:type="dxa"/>
                  <w:vAlign w:val="center"/>
                </w:tcPr>
                <w:p w:rsidR="003C037E" w:rsidRPr="00D53F32" w:rsidRDefault="003C037E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156,024</w:t>
                  </w:r>
                </w:p>
              </w:tc>
              <w:tc>
                <w:tcPr>
                  <w:tcW w:w="1161" w:type="dxa"/>
                  <w:vAlign w:val="center"/>
                </w:tcPr>
                <w:p w:rsidR="003C037E" w:rsidRPr="00D53F32" w:rsidRDefault="003C037E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170,355</w:t>
                  </w:r>
                </w:p>
              </w:tc>
              <w:tc>
                <w:tcPr>
                  <w:tcW w:w="1161" w:type="dxa"/>
                  <w:vAlign w:val="center"/>
                </w:tcPr>
                <w:p w:rsidR="003C037E" w:rsidRPr="00D53F32" w:rsidRDefault="003C037E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169,260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auto"/>
                  </w:tcBorders>
                </w:tcPr>
                <w:p w:rsidR="003C037E" w:rsidRPr="00D53F32" w:rsidRDefault="003C037E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Cs w:val="21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Cs w:val="21"/>
                    </w:rPr>
                    <w:t>159,701</w:t>
                  </w:r>
                </w:p>
              </w:tc>
            </w:tr>
          </w:tbl>
          <w:p w:rsidR="005C72DC" w:rsidRPr="00D53F32" w:rsidRDefault="001752C0" w:rsidP="001F357B">
            <w:pPr>
              <w:rPr>
                <w:rFonts w:ascii="UD デジタル 教科書体 NP-R" w:eastAsia="UD デジタル 教科書体 NP-R" w:hAnsi="ＭＳ ゴシック" w:cs="Times New Roman"/>
                <w:szCs w:val="21"/>
              </w:rPr>
            </w:pPr>
            <w:r w:rsidRPr="00D53F3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○</w:t>
            </w:r>
            <w:r w:rsidR="003C037E" w:rsidRPr="00D53F32">
              <w:rPr>
                <w:rFonts w:ascii="UD デジタル 教科書体 NP-R" w:eastAsia="UD デジタル 教科書体 NP-R" w:hAnsi="ＭＳ ゴシック" w:cs="Times New Roman" w:hint="eastAsia"/>
                <w:szCs w:val="21"/>
              </w:rPr>
              <w:t>事業実績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6"/>
              <w:gridCol w:w="1202"/>
              <w:gridCol w:w="1202"/>
              <w:gridCol w:w="1201"/>
              <w:gridCol w:w="1201"/>
            </w:tblGrid>
            <w:tr w:rsidR="002A3A5B" w:rsidRPr="00D53F32" w:rsidTr="002A3A5B">
              <w:trPr>
                <w:trHeight w:val="375"/>
              </w:trPr>
              <w:tc>
                <w:tcPr>
                  <w:tcW w:w="2506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center"/>
                    <w:rPr>
                      <w:rFonts w:ascii="UD デジタル 教科書体 NP-R" w:eastAsia="UD デジタル 教科書体 NP-R" w:hAnsi="ＭＳ ゴシック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rPr>
                      <w:rFonts w:ascii="UD デジタル 教科書体 NP-R" w:eastAsia="UD デジタル 教科書体 NP-R" w:hAnsi="ＭＳ ゴシック" w:cs="Times New Roman"/>
                      <w:sz w:val="18"/>
                      <w:szCs w:val="15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18"/>
                      <w:szCs w:val="15"/>
                    </w:rPr>
                    <w:t>令和元年度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center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２年度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center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３年度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ind w:firstLineChars="100" w:firstLine="200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４年度</w:t>
                  </w:r>
                </w:p>
              </w:tc>
            </w:tr>
            <w:tr w:rsidR="002A3A5B" w:rsidRPr="00D53F32" w:rsidTr="002A3A5B">
              <w:trPr>
                <w:trHeight w:val="375"/>
              </w:trPr>
              <w:tc>
                <w:tcPr>
                  <w:tcW w:w="2506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巡回相談件数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7,437件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7,181件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6,825件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7,212件</w:t>
                  </w:r>
                </w:p>
              </w:tc>
            </w:tr>
            <w:tr w:rsidR="002A3A5B" w:rsidRPr="00D53F32" w:rsidTr="002A3A5B">
              <w:trPr>
                <w:trHeight w:val="375"/>
              </w:trPr>
              <w:tc>
                <w:tcPr>
                  <w:tcW w:w="2506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入所等支援件数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640A4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206</w:t>
                  </w:r>
                  <w:r w:rsidR="002A3A5B"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件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640A4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234</w:t>
                  </w:r>
                  <w:r w:rsidR="002A3A5B"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件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640A4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142</w:t>
                  </w:r>
                  <w:r w:rsidR="002A3A5B"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件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640A4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127</w:t>
                  </w:r>
                  <w:r w:rsidR="002A3A5B"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件</w:t>
                  </w:r>
                </w:p>
              </w:tc>
            </w:tr>
            <w:tr w:rsidR="002A3A5B" w:rsidRPr="00D53F32" w:rsidTr="002A3A5B">
              <w:trPr>
                <w:trHeight w:val="375"/>
              </w:trPr>
              <w:tc>
                <w:tcPr>
                  <w:tcW w:w="2506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rPr>
                      <w:rFonts w:ascii="UD デジタル 教科書体 NP-R" w:eastAsia="UD デジタル 教科書体 NP-R" w:hAnsi="ＭＳ ゴシック" w:cs="Times New Roman"/>
                      <w:sz w:val="18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18"/>
                      <w:szCs w:val="16"/>
                    </w:rPr>
                    <w:t>自立支援センター入所者数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130人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137人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78人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66人</w:t>
                  </w:r>
                </w:p>
              </w:tc>
            </w:tr>
            <w:tr w:rsidR="002A3A5B" w:rsidRPr="00D53F32" w:rsidTr="002A3A5B">
              <w:trPr>
                <w:trHeight w:val="375"/>
              </w:trPr>
              <w:tc>
                <w:tcPr>
                  <w:tcW w:w="2506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rPr>
                      <w:rFonts w:ascii="UD デジタル 教科書体 NP-R" w:eastAsia="UD デジタル 教科書体 NP-R" w:hAnsi="ＭＳ ゴシック" w:cs="Times New Roman"/>
                      <w:sz w:val="18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18"/>
                      <w:szCs w:val="16"/>
                    </w:rPr>
                    <w:t>自立支援センター退所者数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94人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113人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85人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56人</w:t>
                  </w:r>
                </w:p>
              </w:tc>
            </w:tr>
            <w:tr w:rsidR="002A3A5B" w:rsidRPr="00D53F32" w:rsidTr="002A3A5B">
              <w:trPr>
                <w:trHeight w:val="375"/>
              </w:trPr>
              <w:tc>
                <w:tcPr>
                  <w:tcW w:w="2506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rPr>
                      <w:rFonts w:ascii="UD デジタル 教科書体 NP-R" w:eastAsia="UD デジタル 教科書体 NP-R" w:hAnsi="ＭＳ ゴシック" w:cs="Times New Roman"/>
                      <w:sz w:val="18"/>
                      <w:szCs w:val="18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8"/>
                    </w:rPr>
                    <w:t>就労退所者数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55人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72人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55人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33人</w:t>
                  </w:r>
                </w:p>
              </w:tc>
            </w:tr>
            <w:tr w:rsidR="002A3A5B" w:rsidRPr="00D53F32" w:rsidTr="002A3A5B">
              <w:trPr>
                <w:trHeight w:val="375"/>
              </w:trPr>
              <w:tc>
                <w:tcPr>
                  <w:tcW w:w="2506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rPr>
                      <w:rFonts w:ascii="UD デジタル 教科書体 NP-R" w:eastAsia="UD デジタル 教科書体 NP-R" w:hAnsi="ＭＳ ゴシック" w:cs="Times New Roman"/>
                      <w:sz w:val="18"/>
                      <w:szCs w:val="18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18"/>
                      <w:szCs w:val="18"/>
                    </w:rPr>
                    <w:t>就職率（入院・保護除く）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97.9％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90.3％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92.9％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87.5％</w:t>
                  </w:r>
                </w:p>
              </w:tc>
            </w:tr>
            <w:tr w:rsidR="002A3A5B" w:rsidRPr="00D53F32" w:rsidTr="002A3A5B">
              <w:trPr>
                <w:trHeight w:val="375"/>
              </w:trPr>
              <w:tc>
                <w:tcPr>
                  <w:tcW w:w="2506" w:type="dxa"/>
                  <w:vAlign w:val="center"/>
                </w:tcPr>
                <w:p w:rsidR="002A3A5B" w:rsidRPr="00D53F32" w:rsidRDefault="002A3A5B" w:rsidP="00F73A3D">
                  <w:pPr>
                    <w:framePr w:hSpace="142" w:wrap="around" w:vAnchor="page" w:hAnchor="margin" w:y="1156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8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8"/>
                    </w:rPr>
                    <w:t>退所時就職継続率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640A4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67.2</w:t>
                  </w:r>
                  <w:r w:rsidR="002A3A5B"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％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2640A4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79.1</w:t>
                  </w:r>
                  <w:r w:rsidR="002A3A5B"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％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640A4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56.3</w:t>
                  </w:r>
                  <w:r w:rsidR="002A3A5B"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％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2640A4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78.7</w:t>
                  </w:r>
                  <w:r w:rsidR="002A3A5B"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％</w:t>
                  </w:r>
                </w:p>
              </w:tc>
            </w:tr>
            <w:tr w:rsidR="002A3A5B" w:rsidRPr="00D53F32" w:rsidTr="002A3A5B">
              <w:trPr>
                <w:trHeight w:val="375"/>
              </w:trPr>
              <w:tc>
                <w:tcPr>
                  <w:tcW w:w="2506" w:type="dxa"/>
                  <w:vAlign w:val="center"/>
                </w:tcPr>
                <w:p w:rsidR="002A3A5B" w:rsidRPr="00D53F32" w:rsidRDefault="008C2080" w:rsidP="00F73A3D">
                  <w:pPr>
                    <w:framePr w:hSpace="142" w:wrap="around" w:vAnchor="page" w:hAnchor="margin" w:y="1156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8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8"/>
                    </w:rPr>
                    <w:t>結核罹患率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8C2080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25.6</w:t>
                  </w:r>
                </w:p>
              </w:tc>
              <w:tc>
                <w:tcPr>
                  <w:tcW w:w="1202" w:type="dxa"/>
                  <w:vAlign w:val="center"/>
                </w:tcPr>
                <w:p w:rsidR="002A3A5B" w:rsidRPr="00D53F32" w:rsidRDefault="008C2080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21.0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8C2080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18.6</w:t>
                  </w:r>
                </w:p>
              </w:tc>
              <w:tc>
                <w:tcPr>
                  <w:tcW w:w="1201" w:type="dxa"/>
                  <w:vAlign w:val="center"/>
                </w:tcPr>
                <w:p w:rsidR="002A3A5B" w:rsidRPr="00D53F32" w:rsidRDefault="008C2080" w:rsidP="00F73A3D">
                  <w:pPr>
                    <w:framePr w:hSpace="142" w:wrap="around" w:vAnchor="page" w:hAnchor="margin" w:y="1156"/>
                    <w:jc w:val="right"/>
                    <w:rPr>
                      <w:rFonts w:ascii="UD デジタル 教科書体 NP-R" w:eastAsia="UD デジタル 教科書体 NP-R" w:hAnsi="ＭＳ ゴシック" w:cs="Times New Roman"/>
                      <w:sz w:val="20"/>
                      <w:szCs w:val="16"/>
                    </w:rPr>
                  </w:pPr>
                  <w:r w:rsidRPr="00D53F32">
                    <w:rPr>
                      <w:rFonts w:ascii="UD デジタル 教科書体 NP-R" w:eastAsia="UD デジタル 教科書体 NP-R" w:hAnsi="ＭＳ ゴシック" w:cs="Times New Roman" w:hint="eastAsia"/>
                      <w:sz w:val="20"/>
                      <w:szCs w:val="16"/>
                    </w:rPr>
                    <w:t>―</w:t>
                  </w:r>
                </w:p>
              </w:tc>
            </w:tr>
          </w:tbl>
          <w:p w:rsidR="005C72DC" w:rsidRPr="00D53F32" w:rsidRDefault="005C72DC" w:rsidP="001F357B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Cs w:val="21"/>
              </w:rPr>
            </w:pPr>
            <w:r w:rsidRPr="00D53F32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Cs w:val="21"/>
              </w:rPr>
              <w:t>○ホームレスの実態に関する全国調査（概数調査）</w:t>
            </w:r>
          </w:p>
          <w:p w:rsidR="005C72DC" w:rsidRPr="00D53F32" w:rsidRDefault="005C72DC" w:rsidP="001F357B">
            <w:pPr>
              <w:widowControl/>
              <w:ind w:firstLineChars="100" w:firstLine="210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Cs w:val="21"/>
              </w:rPr>
            </w:pPr>
            <w:r w:rsidRPr="00D53F32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Cs w:val="21"/>
              </w:rPr>
              <w:t>令和元年度１月ホームレス数　1,002人</w:t>
            </w:r>
          </w:p>
          <w:p w:rsidR="00E4580A" w:rsidRPr="00D53F32" w:rsidRDefault="005C72DC" w:rsidP="001F357B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Cs w:val="21"/>
              </w:rPr>
            </w:pPr>
            <w:r w:rsidRPr="00D53F32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Cs w:val="21"/>
              </w:rPr>
              <w:t xml:space="preserve">　令和５年度１月ホームレス数　　841人（令和元年度から16％の減）</w:t>
            </w:r>
          </w:p>
        </w:tc>
      </w:tr>
      <w:tr w:rsidR="00AD3052" w:rsidRPr="005E320D" w:rsidTr="001F357B">
        <w:trPr>
          <w:trHeight w:val="420"/>
        </w:trPr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52" w:rsidRPr="005E320D" w:rsidRDefault="00AD3052" w:rsidP="001F357B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09" w:type="pct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72DC" w:rsidRPr="00D53F32" w:rsidRDefault="003C0AA5" w:rsidP="001F357B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D53F3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 xml:space="preserve">【評価】　効果の有無（　有　</w:t>
            </w:r>
            <w:r w:rsidR="00AD3052" w:rsidRPr="00D53F3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）　←有・無の２択から記入</w:t>
            </w:r>
          </w:p>
        </w:tc>
      </w:tr>
      <w:tr w:rsidR="00AD3052" w:rsidRPr="005E320D" w:rsidTr="001F357B">
        <w:trPr>
          <w:trHeight w:val="1702"/>
        </w:trPr>
        <w:tc>
          <w:tcPr>
            <w:tcW w:w="109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052" w:rsidRPr="005E320D" w:rsidRDefault="00AD3052" w:rsidP="001F357B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052" w:rsidRPr="00D53F32" w:rsidRDefault="00AD3052" w:rsidP="001F357B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D53F3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【評価の理由】</w:t>
            </w:r>
          </w:p>
          <w:p w:rsidR="00AD3052" w:rsidRPr="00D53F32" w:rsidRDefault="007D5A28" w:rsidP="001F357B">
            <w:pPr>
              <w:widowControl/>
              <w:ind w:firstLineChars="100" w:firstLine="210"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Cs w:val="21"/>
              </w:rPr>
            </w:pPr>
            <w:r w:rsidRPr="00D53F32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Cs w:val="21"/>
              </w:rPr>
              <w:t>巡回相談員が野宿地にアウトリーチし、ホームレスの就労・健康・悩み等について面接相談を行い、自立支援センターへの入所や生活保護の適用等に繋いだことにより、ホームレス数が年々、減少したため。</w:t>
            </w:r>
          </w:p>
        </w:tc>
      </w:tr>
      <w:tr w:rsidR="007D5A28" w:rsidRPr="005E320D" w:rsidTr="001F357B">
        <w:trPr>
          <w:trHeight w:val="2268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A28" w:rsidRPr="005E320D" w:rsidRDefault="007D5A28" w:rsidP="001F357B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2</w:t>
            </w: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）課題・問題点</w:t>
            </w:r>
          </w:p>
        </w:tc>
        <w:tc>
          <w:tcPr>
            <w:tcW w:w="3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86A" w:rsidRPr="00D53F32" w:rsidRDefault="0023586A" w:rsidP="001F357B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〇ホームレス</w:t>
            </w:r>
            <w:r w:rsidR="00E02F61"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の</w:t>
            </w:r>
            <w:r w:rsidR="006F5B4E"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高齢化</w:t>
            </w:r>
            <w:r w:rsidR="00E02F61"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、野宿生活期間の長期化</w:t>
            </w:r>
            <w:r w:rsidR="004B4DA1"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が</w:t>
            </w:r>
            <w:r w:rsidR="00E02F61"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より一層顕著となっており、その多くは就労による自立が困難な状況にある。</w:t>
            </w:r>
          </w:p>
          <w:p w:rsidR="00E02F61" w:rsidRPr="00D53F32" w:rsidRDefault="00E02F61" w:rsidP="001F357B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それらのホームレス</w:t>
            </w:r>
            <w:r w:rsidR="00F81B38"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を日常生活・</w:t>
            </w:r>
            <w:r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社会</w:t>
            </w:r>
            <w:r w:rsidR="0033464E"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生活</w:t>
            </w:r>
            <w:r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自立に繋げるには、</w:t>
            </w:r>
            <w:r w:rsidR="00040EBB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安定した住居を確保</w:t>
            </w:r>
            <w:r w:rsidR="00D455EC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する</w:t>
            </w:r>
            <w:r w:rsidR="00040EBB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必要がある</w:t>
            </w:r>
            <w:r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。</w:t>
            </w:r>
          </w:p>
          <w:p w:rsidR="007D5A28" w:rsidRPr="00D53F32" w:rsidRDefault="00605FEA" w:rsidP="001F357B">
            <w:pPr>
              <w:rPr>
                <w:rFonts w:ascii="UD デジタル 教科書体 NP-R" w:eastAsia="UD デジタル 教科書体 NP-R" w:hAnsi="ＭＳ ゴシック"/>
                <w:szCs w:val="21"/>
              </w:rPr>
            </w:pPr>
            <w:r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○終夜</w:t>
            </w:r>
            <w:r w:rsidR="002A4E4B"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営業の店舗等を利用しているアウトリーチが届きにくい居住不安定者</w:t>
            </w:r>
            <w:r w:rsidRPr="00D53F32">
              <w:rPr>
                <w:rFonts w:ascii="UD デジタル 教科書体 NP-R" w:eastAsia="UD デジタル 教科書体 NP-R" w:hAnsi="ＭＳ ゴシック" w:hint="eastAsia"/>
                <w:szCs w:val="21"/>
              </w:rPr>
              <w:t>に対応した実効性のある施策を実施する必要がある。</w:t>
            </w:r>
          </w:p>
        </w:tc>
      </w:tr>
      <w:tr w:rsidR="007D5A28" w:rsidRPr="005E320D" w:rsidTr="001F357B">
        <w:trPr>
          <w:trHeight w:val="170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A28" w:rsidRPr="005E320D" w:rsidRDefault="007D5A28" w:rsidP="001F357B">
            <w:pPr>
              <w:widowControl/>
              <w:ind w:left="210" w:hangingChars="100" w:hanging="210"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lastRenderedPageBreak/>
              <w:t>（</w:t>
            </w: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3）計画に対する意見</w:t>
            </w:r>
            <w:r w:rsidRPr="005E320D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・今後の取り組み方向</w:t>
            </w:r>
          </w:p>
        </w:tc>
        <w:tc>
          <w:tcPr>
            <w:tcW w:w="3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B2C" w:rsidRPr="00D53F32" w:rsidRDefault="00040EBB" w:rsidP="001F357B">
            <w:pPr>
              <w:widowControl/>
              <w:rPr>
                <w:rFonts w:ascii="UD デジタル 教科書体 NP-R" w:eastAsia="UD デジタル 教科書体 NP-R" w:hAnsi="ＭＳ ゴシック" w:cs="ＭＳ Ｐゴシック"/>
                <w:kern w:val="0"/>
                <w:szCs w:val="21"/>
              </w:rPr>
            </w:pPr>
            <w:r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○</w:t>
            </w:r>
            <w:r w:rsidR="003C11D3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日常生活・社会生活自立に向けた支援には、まずは安定した住居を確保</w:t>
            </w:r>
            <w:r w:rsidR="00D455EC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したうえで自立に向けた支援を行う必要がある</w:t>
            </w:r>
            <w:r w:rsidR="003C11D3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ことから</w:t>
            </w:r>
            <w:r w:rsidR="00281B2C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、</w:t>
            </w:r>
            <w:r w:rsidR="0098170D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対応策</w:t>
            </w:r>
            <w:r w:rsidR="00281B2C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について検討</w:t>
            </w:r>
            <w:r w:rsidR="0033464E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していく</w:t>
            </w:r>
            <w:r w:rsidR="00281B2C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。</w:t>
            </w:r>
          </w:p>
          <w:p w:rsidR="00070ED0" w:rsidRPr="00D53F32" w:rsidRDefault="00CB3E39" w:rsidP="001F357B">
            <w:pPr>
              <w:widowControl/>
              <w:rPr>
                <w:rFonts w:ascii="UD デジタル 教科書体 NP-R" w:eastAsia="UD デジタル 教科書体 NP-R" w:hAnsi="ＭＳ ゴシック" w:cs="ＭＳ Ｐゴシック"/>
                <w:kern w:val="0"/>
                <w:szCs w:val="21"/>
              </w:rPr>
            </w:pPr>
            <w:r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○</w:t>
            </w:r>
            <w:r w:rsidR="007D5A28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終夜営業の店舗を利用し、屋根のある場所と路上を行き来している層に</w:t>
            </w:r>
            <w:r w:rsidR="00070ED0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対し、積極的な</w:t>
            </w:r>
            <w:r w:rsidR="008708E1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支援</w:t>
            </w:r>
            <w:r w:rsidR="0098170D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方策</w:t>
            </w:r>
            <w:r w:rsidR="008708E1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の</w:t>
            </w:r>
            <w:r w:rsidR="00070ED0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見える化</w:t>
            </w:r>
            <w:r w:rsidR="00B46460" w:rsidRPr="00D53F32">
              <w:rPr>
                <w:rFonts w:ascii="UD デジタル 教科書体 NP-R" w:eastAsia="UD デジタル 教科書体 NP-R" w:hAnsi="ＭＳ ゴシック" w:cs="ＭＳ Ｐゴシック" w:hint="eastAsia"/>
                <w:kern w:val="0"/>
                <w:szCs w:val="21"/>
              </w:rPr>
              <w:t>に向け検討していく。</w:t>
            </w:r>
          </w:p>
        </w:tc>
      </w:tr>
      <w:tr w:rsidR="00D53F32" w:rsidRPr="005E320D" w:rsidTr="001F357B">
        <w:trPr>
          <w:trHeight w:val="582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32" w:rsidRPr="005E320D" w:rsidRDefault="00D53F32" w:rsidP="001F357B">
            <w:pPr>
              <w:widowControl/>
              <w:ind w:left="210" w:hangingChars="100" w:hanging="210"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市町村部局名</w:t>
            </w:r>
          </w:p>
        </w:tc>
        <w:tc>
          <w:tcPr>
            <w:tcW w:w="3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F32" w:rsidRDefault="00F73A3D" w:rsidP="005373F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大阪市</w:t>
            </w:r>
            <w:bookmarkStart w:id="1" w:name="_GoBack"/>
            <w:bookmarkEnd w:id="1"/>
            <w:r w:rsidR="00D53F3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Cs w:val="21"/>
              </w:rPr>
              <w:t>福祉局生活福祉部自立支援課</w:t>
            </w:r>
          </w:p>
        </w:tc>
      </w:tr>
    </w:tbl>
    <w:p w:rsidR="003E17B6" w:rsidRPr="008708E1" w:rsidRDefault="003E17B6"/>
    <w:sectPr w:rsidR="003E17B6" w:rsidRPr="008708E1" w:rsidSect="003525C3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04" w:rsidRDefault="00783B04" w:rsidP="000F4C95">
      <w:r>
        <w:separator/>
      </w:r>
    </w:p>
  </w:endnote>
  <w:endnote w:type="continuationSeparator" w:id="0">
    <w:p w:rsidR="00783B04" w:rsidRDefault="00783B04" w:rsidP="000F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04" w:rsidRDefault="00783B04" w:rsidP="000F4C95">
      <w:r>
        <w:separator/>
      </w:r>
    </w:p>
  </w:footnote>
  <w:footnote w:type="continuationSeparator" w:id="0">
    <w:p w:rsidR="00783B04" w:rsidRDefault="00783B04" w:rsidP="000F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0D"/>
    <w:rsid w:val="00040EBB"/>
    <w:rsid w:val="00070ED0"/>
    <w:rsid w:val="000A1207"/>
    <w:rsid w:val="000F4C95"/>
    <w:rsid w:val="0015632B"/>
    <w:rsid w:val="001752C0"/>
    <w:rsid w:val="001F357B"/>
    <w:rsid w:val="0023586A"/>
    <w:rsid w:val="002640A4"/>
    <w:rsid w:val="00281B2C"/>
    <w:rsid w:val="002A3A5B"/>
    <w:rsid w:val="002A4E4B"/>
    <w:rsid w:val="002F536B"/>
    <w:rsid w:val="0033464E"/>
    <w:rsid w:val="003525C3"/>
    <w:rsid w:val="003C037E"/>
    <w:rsid w:val="003C0AA5"/>
    <w:rsid w:val="003C11D3"/>
    <w:rsid w:val="003E17B6"/>
    <w:rsid w:val="004211B6"/>
    <w:rsid w:val="00426C37"/>
    <w:rsid w:val="004B4DA1"/>
    <w:rsid w:val="005373F3"/>
    <w:rsid w:val="005C72DC"/>
    <w:rsid w:val="005D2B35"/>
    <w:rsid w:val="005E320D"/>
    <w:rsid w:val="00605FEA"/>
    <w:rsid w:val="00630BEF"/>
    <w:rsid w:val="006F5B4E"/>
    <w:rsid w:val="00703683"/>
    <w:rsid w:val="00783B04"/>
    <w:rsid w:val="007D5A28"/>
    <w:rsid w:val="008708E1"/>
    <w:rsid w:val="008C2080"/>
    <w:rsid w:val="00973390"/>
    <w:rsid w:val="0098170D"/>
    <w:rsid w:val="00A00931"/>
    <w:rsid w:val="00A75E8D"/>
    <w:rsid w:val="00AD3052"/>
    <w:rsid w:val="00B46460"/>
    <w:rsid w:val="00BF270D"/>
    <w:rsid w:val="00C31FB1"/>
    <w:rsid w:val="00C7354D"/>
    <w:rsid w:val="00CB3E39"/>
    <w:rsid w:val="00D352F4"/>
    <w:rsid w:val="00D455EC"/>
    <w:rsid w:val="00D53F32"/>
    <w:rsid w:val="00E01E50"/>
    <w:rsid w:val="00E02F61"/>
    <w:rsid w:val="00E4580A"/>
    <w:rsid w:val="00E52031"/>
    <w:rsid w:val="00ED06AF"/>
    <w:rsid w:val="00F133D8"/>
    <w:rsid w:val="00F73A3D"/>
    <w:rsid w:val="00F8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AE53AB-DF39-495E-BF63-D37B7AA2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36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4C95"/>
  </w:style>
  <w:style w:type="paragraph" w:styleId="a7">
    <w:name w:val="footer"/>
    <w:basedOn w:val="a"/>
    <w:link w:val="a8"/>
    <w:uiPriority w:val="99"/>
    <w:unhideWhenUsed/>
    <w:rsid w:val="000F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4C95"/>
  </w:style>
  <w:style w:type="table" w:styleId="a9">
    <w:name w:val="Table Grid"/>
    <w:basedOn w:val="a1"/>
    <w:uiPriority w:val="39"/>
    <w:rsid w:val="00D35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BE844-A054-4A44-90AA-932AE252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小畑　洋輔</dc:creator>
  <cp:lastModifiedBy>長尾　茉由子</cp:lastModifiedBy>
  <cp:revision>25</cp:revision>
  <cp:lastPrinted>2023-07-07T01:26:00Z</cp:lastPrinted>
  <dcterms:created xsi:type="dcterms:W3CDTF">2023-06-28T04:36:00Z</dcterms:created>
  <dcterms:modified xsi:type="dcterms:W3CDTF">2023-08-14T06:11:00Z</dcterms:modified>
</cp:coreProperties>
</file>