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B536" w14:textId="6327C56A" w:rsidR="00CE04C8" w:rsidRDefault="00210E7D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9135A" wp14:editId="6C564765">
                <wp:simplePos x="0" y="0"/>
                <wp:positionH relativeFrom="column">
                  <wp:posOffset>4958715</wp:posOffset>
                </wp:positionH>
                <wp:positionV relativeFrom="paragraph">
                  <wp:posOffset>-186690</wp:posOffset>
                </wp:positionV>
                <wp:extent cx="89535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BAFC8D" w14:textId="7020B280" w:rsidR="00210E7D" w:rsidRPr="00215E2D" w:rsidRDefault="00210E7D" w:rsidP="00210E7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15E2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9A2D3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0.45pt;margin-top:-14.7pt;width:70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" filled="f" strokecolor="windowText" strokeweight=".5pt">
                <v:textbox inset="0,0,0,0">
                  <w:txbxContent>
                    <w:p w14:paraId="77BAFC8D" w14:textId="7020B280" w:rsidR="00210E7D" w:rsidRPr="00215E2D" w:rsidRDefault="00210E7D" w:rsidP="00210E7D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15E2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資料</w:t>
                      </w:r>
                      <w:r w:rsidR="009A2D3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11667A">
        <w:rPr>
          <w:rFonts w:asciiTheme="majorEastAsia" w:eastAsiaTheme="majorEastAsia" w:hAnsiTheme="majorEastAsia" w:hint="eastAsia"/>
          <w:b/>
          <w:sz w:val="28"/>
          <w:szCs w:val="28"/>
        </w:rPr>
        <w:t>麻しん風しん定期予防接種の実施状況</w:t>
      </w:r>
    </w:p>
    <w:p w14:paraId="6CAB9DC8" w14:textId="32E71E35" w:rsidR="00D31EA9" w:rsidRDefault="00210E7D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>（厚生労働省ＨＰ「麻しん風しん予防接種の実施状況」より抜粋）</w:t>
      </w:r>
    </w:p>
    <w:p w14:paraId="24A93CD1" w14:textId="77777777" w:rsidR="00210E7D" w:rsidRDefault="00210E7D" w:rsidP="003471E7">
      <w:pPr>
        <w:rPr>
          <w:rFonts w:asciiTheme="majorEastAsia" w:eastAsiaTheme="majorEastAsia" w:hAnsiTheme="majorEastAsia"/>
          <w:sz w:val="22"/>
        </w:rPr>
      </w:pPr>
    </w:p>
    <w:p w14:paraId="3F308416" w14:textId="441188DF" w:rsidR="001B1444" w:rsidRPr="00685A46" w:rsidRDefault="003471E7" w:rsidP="00210E7D">
      <w:pPr>
        <w:rPr>
          <w:rFonts w:asciiTheme="majorEastAsia" w:eastAsiaTheme="majorEastAsia" w:hAnsiTheme="majorEastAsia"/>
          <w:sz w:val="18"/>
          <w:szCs w:val="18"/>
        </w:rPr>
      </w:pPr>
      <w:r w:rsidRPr="003732BB">
        <w:rPr>
          <w:rFonts w:asciiTheme="majorEastAsia" w:eastAsiaTheme="majorEastAsia" w:hAnsiTheme="majorEastAsia" w:hint="eastAsia"/>
          <w:sz w:val="22"/>
        </w:rPr>
        <w:t xml:space="preserve">表１　</w:t>
      </w:r>
      <w:r w:rsidR="00E129F6">
        <w:rPr>
          <w:rFonts w:asciiTheme="majorEastAsia" w:eastAsiaTheme="majorEastAsia" w:hAnsiTheme="majorEastAsia" w:hint="eastAsia"/>
          <w:sz w:val="22"/>
        </w:rPr>
        <w:t>１</w:t>
      </w:r>
      <w:r w:rsidR="0002498E" w:rsidRPr="003732BB">
        <w:rPr>
          <w:rFonts w:asciiTheme="majorEastAsia" w:eastAsiaTheme="majorEastAsia" w:hAnsiTheme="majorEastAsia" w:hint="eastAsia"/>
          <w:sz w:val="22"/>
        </w:rPr>
        <w:t>期</w:t>
      </w:r>
      <w:r w:rsidR="00D31EA9" w:rsidRPr="003732BB">
        <w:rPr>
          <w:rFonts w:asciiTheme="majorEastAsia" w:eastAsiaTheme="majorEastAsia" w:hAnsiTheme="majorEastAsia" w:hint="eastAsia"/>
          <w:sz w:val="22"/>
        </w:rPr>
        <w:t>接種率</w:t>
      </w:r>
      <w:r w:rsidR="0002498E" w:rsidRPr="003732BB">
        <w:rPr>
          <w:rFonts w:asciiTheme="majorEastAsia" w:eastAsiaTheme="majorEastAsia" w:hAnsiTheme="majorEastAsia" w:hint="eastAsia"/>
          <w:sz w:val="22"/>
        </w:rPr>
        <w:t>（１歳</w:t>
      </w:r>
      <w:r w:rsidR="00DB11DC" w:rsidRPr="003732BB">
        <w:rPr>
          <w:rFonts w:asciiTheme="majorEastAsia" w:eastAsiaTheme="majorEastAsia" w:hAnsiTheme="majorEastAsia" w:hint="eastAsia"/>
          <w:sz w:val="22"/>
        </w:rPr>
        <w:t>以上</w:t>
      </w:r>
      <w:r w:rsidR="0002498E" w:rsidRPr="003732BB">
        <w:rPr>
          <w:rFonts w:asciiTheme="majorEastAsia" w:eastAsiaTheme="majorEastAsia" w:hAnsiTheme="majorEastAsia" w:hint="eastAsia"/>
          <w:sz w:val="22"/>
        </w:rPr>
        <w:t>２歳</w:t>
      </w:r>
      <w:r w:rsidR="00DB11DC" w:rsidRPr="003732BB">
        <w:rPr>
          <w:rFonts w:asciiTheme="majorEastAsia" w:eastAsiaTheme="majorEastAsia" w:hAnsiTheme="majorEastAsia" w:hint="eastAsia"/>
          <w:sz w:val="22"/>
        </w:rPr>
        <w:t>未満</w:t>
      </w:r>
      <w:r w:rsidR="0002498E" w:rsidRPr="003732BB">
        <w:rPr>
          <w:rFonts w:asciiTheme="majorEastAsia" w:eastAsiaTheme="majorEastAsia" w:hAnsiTheme="majorEastAsia" w:hint="eastAsia"/>
          <w:sz w:val="22"/>
        </w:rPr>
        <w:t>）</w:t>
      </w:r>
      <w:r w:rsidR="00210E7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="001B1444">
        <w:rPr>
          <w:rFonts w:asciiTheme="majorEastAsia" w:eastAsiaTheme="majorEastAsia" w:hAnsiTheme="majorEastAsia" w:hint="eastAsia"/>
          <w:sz w:val="18"/>
          <w:szCs w:val="18"/>
        </w:rPr>
        <w:t>（％）</w:t>
      </w:r>
    </w:p>
    <w:tbl>
      <w:tblPr>
        <w:tblStyle w:val="a7"/>
        <w:tblW w:w="8841" w:type="dxa"/>
        <w:jc w:val="center"/>
        <w:tblInd w:w="243" w:type="dxa"/>
        <w:tblLook w:val="04A0" w:firstRow="1" w:lastRow="0" w:firstColumn="1" w:lastColumn="0" w:noHBand="0" w:noVBand="1"/>
      </w:tblPr>
      <w:tblGrid>
        <w:gridCol w:w="982"/>
        <w:gridCol w:w="982"/>
        <w:gridCol w:w="983"/>
        <w:gridCol w:w="982"/>
        <w:gridCol w:w="982"/>
        <w:gridCol w:w="983"/>
        <w:gridCol w:w="982"/>
        <w:gridCol w:w="982"/>
        <w:gridCol w:w="983"/>
      </w:tblGrid>
      <w:tr w:rsidR="009A1205" w:rsidRPr="0062382C" w14:paraId="3E56681A" w14:textId="2E1CBECF" w:rsidTr="00210E7D">
        <w:trPr>
          <w:jc w:val="center"/>
        </w:trPr>
        <w:tc>
          <w:tcPr>
            <w:tcW w:w="982" w:type="dxa"/>
            <w:tcBorders>
              <w:tl2br w:val="single" w:sz="4" w:space="0" w:color="auto"/>
            </w:tcBorders>
            <w:shd w:val="clear" w:color="auto" w:fill="EEECE1" w:themeFill="background2"/>
            <w:vAlign w:val="center"/>
          </w:tcPr>
          <w:p w14:paraId="5CC4052A" w14:textId="0B8E7DBB" w:rsidR="009A1205" w:rsidRPr="0062382C" w:rsidRDefault="009A1205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EEECE1" w:themeFill="background2"/>
            <w:vAlign w:val="center"/>
          </w:tcPr>
          <w:p w14:paraId="24D71642" w14:textId="619E0C84" w:rsidR="009A1205" w:rsidRPr="00D31EA9" w:rsidRDefault="009A1205" w:rsidP="00210E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H21年度</w:t>
            </w:r>
          </w:p>
        </w:tc>
        <w:tc>
          <w:tcPr>
            <w:tcW w:w="983" w:type="dxa"/>
            <w:shd w:val="clear" w:color="auto" w:fill="EEECE1" w:themeFill="background2"/>
            <w:vAlign w:val="center"/>
          </w:tcPr>
          <w:p w14:paraId="6A7D9BD2" w14:textId="19689DAF" w:rsidR="009A1205" w:rsidRPr="00D31EA9" w:rsidRDefault="009A1205" w:rsidP="00210E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H22年度</w:t>
            </w:r>
          </w:p>
        </w:tc>
        <w:tc>
          <w:tcPr>
            <w:tcW w:w="982" w:type="dxa"/>
            <w:shd w:val="clear" w:color="auto" w:fill="EEECE1" w:themeFill="background2"/>
            <w:vAlign w:val="center"/>
          </w:tcPr>
          <w:p w14:paraId="6FCFA9D1" w14:textId="124A7871" w:rsidR="009A1205" w:rsidRPr="00D31EA9" w:rsidRDefault="009A1205" w:rsidP="00210E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H23年度</w:t>
            </w:r>
          </w:p>
        </w:tc>
        <w:tc>
          <w:tcPr>
            <w:tcW w:w="982" w:type="dxa"/>
            <w:shd w:val="clear" w:color="auto" w:fill="EEECE1" w:themeFill="background2"/>
            <w:vAlign w:val="center"/>
          </w:tcPr>
          <w:p w14:paraId="0CB2B1A9" w14:textId="38605178" w:rsidR="009A1205" w:rsidRPr="00D31EA9" w:rsidRDefault="009A1205" w:rsidP="00210E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H24年度</w:t>
            </w:r>
          </w:p>
        </w:tc>
        <w:tc>
          <w:tcPr>
            <w:tcW w:w="983" w:type="dxa"/>
            <w:shd w:val="clear" w:color="auto" w:fill="EEECE1" w:themeFill="background2"/>
            <w:vAlign w:val="center"/>
          </w:tcPr>
          <w:p w14:paraId="02709D45" w14:textId="54DA6AD6" w:rsidR="009A1205" w:rsidRPr="00D31EA9" w:rsidRDefault="009A1205" w:rsidP="00210E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H25年度</w:t>
            </w:r>
          </w:p>
        </w:tc>
        <w:tc>
          <w:tcPr>
            <w:tcW w:w="982" w:type="dxa"/>
            <w:shd w:val="clear" w:color="auto" w:fill="EEECE1" w:themeFill="background2"/>
            <w:vAlign w:val="center"/>
          </w:tcPr>
          <w:p w14:paraId="354E00A9" w14:textId="1AC2628E" w:rsidR="009A1205" w:rsidRPr="00D31EA9" w:rsidRDefault="009A1205" w:rsidP="00210E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H26年度</w:t>
            </w:r>
          </w:p>
        </w:tc>
        <w:tc>
          <w:tcPr>
            <w:tcW w:w="982" w:type="dxa"/>
            <w:shd w:val="clear" w:color="auto" w:fill="EEECE1" w:themeFill="background2"/>
            <w:vAlign w:val="center"/>
          </w:tcPr>
          <w:p w14:paraId="0C7C2DC4" w14:textId="253AB1A2" w:rsidR="009A1205" w:rsidRPr="00D31EA9" w:rsidRDefault="009A1205" w:rsidP="00210E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H27年度</w:t>
            </w:r>
          </w:p>
        </w:tc>
        <w:tc>
          <w:tcPr>
            <w:tcW w:w="983" w:type="dxa"/>
            <w:shd w:val="clear" w:color="auto" w:fill="EEECE1" w:themeFill="background2"/>
            <w:vAlign w:val="center"/>
          </w:tcPr>
          <w:p w14:paraId="1FD0DD66" w14:textId="15183FAA" w:rsidR="009A1205" w:rsidRPr="0062382C" w:rsidRDefault="009A1205" w:rsidP="00210E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H28年度</w:t>
            </w:r>
          </w:p>
        </w:tc>
      </w:tr>
      <w:tr w:rsidR="007E7585" w:rsidRPr="0062382C" w14:paraId="549DE907" w14:textId="2ACA4F7F" w:rsidTr="00210E7D">
        <w:trPr>
          <w:trHeight w:val="381"/>
          <w:jc w:val="center"/>
        </w:trPr>
        <w:tc>
          <w:tcPr>
            <w:tcW w:w="982" w:type="dxa"/>
            <w:vAlign w:val="center"/>
          </w:tcPr>
          <w:p w14:paraId="13E480C5" w14:textId="68251208" w:rsidR="007E7585" w:rsidRPr="00210E7D" w:rsidRDefault="007E7585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大阪府</w:t>
            </w:r>
          </w:p>
        </w:tc>
        <w:tc>
          <w:tcPr>
            <w:tcW w:w="982" w:type="dxa"/>
            <w:vAlign w:val="center"/>
          </w:tcPr>
          <w:p w14:paraId="1190A663" w14:textId="4650D101" w:rsidR="007E7585" w:rsidRPr="00210E7D" w:rsidRDefault="007E7585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93.7</w:t>
            </w:r>
          </w:p>
        </w:tc>
        <w:tc>
          <w:tcPr>
            <w:tcW w:w="983" w:type="dxa"/>
            <w:vAlign w:val="center"/>
          </w:tcPr>
          <w:p w14:paraId="754BEF31" w14:textId="3E610749" w:rsidR="007E7585" w:rsidRPr="00210E7D" w:rsidRDefault="007E7585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95.2</w:t>
            </w:r>
          </w:p>
        </w:tc>
        <w:tc>
          <w:tcPr>
            <w:tcW w:w="982" w:type="dxa"/>
            <w:vAlign w:val="center"/>
          </w:tcPr>
          <w:p w14:paraId="7D2412B9" w14:textId="4B0972BA" w:rsidR="007E7585" w:rsidRPr="00210E7D" w:rsidRDefault="007E7585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94.9</w:t>
            </w:r>
          </w:p>
        </w:tc>
        <w:tc>
          <w:tcPr>
            <w:tcW w:w="982" w:type="dxa"/>
            <w:vAlign w:val="center"/>
          </w:tcPr>
          <w:p w14:paraId="6BEF4102" w14:textId="73166D76" w:rsidR="007E7585" w:rsidRPr="00210E7D" w:rsidRDefault="007E7585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98.1</w:t>
            </w:r>
          </w:p>
        </w:tc>
        <w:tc>
          <w:tcPr>
            <w:tcW w:w="983" w:type="dxa"/>
            <w:vAlign w:val="center"/>
          </w:tcPr>
          <w:p w14:paraId="43DCBA84" w14:textId="54C658B8" w:rsidR="007E7585" w:rsidRPr="00210E7D" w:rsidRDefault="007E7585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95.1</w:t>
            </w:r>
          </w:p>
        </w:tc>
        <w:tc>
          <w:tcPr>
            <w:tcW w:w="982" w:type="dxa"/>
            <w:vAlign w:val="center"/>
          </w:tcPr>
          <w:p w14:paraId="05EC2BA1" w14:textId="44780EEC" w:rsidR="007E7585" w:rsidRPr="00210E7D" w:rsidRDefault="007E7585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94.8</w:t>
            </w:r>
          </w:p>
        </w:tc>
        <w:tc>
          <w:tcPr>
            <w:tcW w:w="982" w:type="dxa"/>
            <w:vAlign w:val="center"/>
          </w:tcPr>
          <w:p w14:paraId="50527284" w14:textId="64FAE1FF" w:rsidR="007E7585" w:rsidRPr="00210E7D" w:rsidRDefault="007E7585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95.1</w:t>
            </w:r>
          </w:p>
        </w:tc>
        <w:tc>
          <w:tcPr>
            <w:tcW w:w="983" w:type="dxa"/>
            <w:vAlign w:val="center"/>
          </w:tcPr>
          <w:p w14:paraId="2E5892E1" w14:textId="1E08A4C0" w:rsidR="007E7585" w:rsidRPr="00210E7D" w:rsidRDefault="007E7585" w:rsidP="007E758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97.0</w:t>
            </w:r>
          </w:p>
        </w:tc>
      </w:tr>
      <w:tr w:rsidR="007E7585" w:rsidRPr="0062382C" w14:paraId="1D750459" w14:textId="1707901E" w:rsidTr="00210E7D">
        <w:trPr>
          <w:trHeight w:val="401"/>
          <w:jc w:val="center"/>
        </w:trPr>
        <w:tc>
          <w:tcPr>
            <w:tcW w:w="982" w:type="dxa"/>
            <w:vAlign w:val="center"/>
          </w:tcPr>
          <w:p w14:paraId="4901A2C2" w14:textId="64D01B21" w:rsidR="007E7585" w:rsidRPr="0062382C" w:rsidRDefault="007E7585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382C">
              <w:rPr>
                <w:rFonts w:asciiTheme="majorEastAsia" w:eastAsiaTheme="majorEastAsia" w:hAnsiTheme="majorEastAsia" w:hint="eastAsia"/>
                <w:sz w:val="20"/>
                <w:szCs w:val="20"/>
              </w:rPr>
              <w:t>全</w:t>
            </w:r>
            <w:r w:rsidR="00210E7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2382C">
              <w:rPr>
                <w:rFonts w:asciiTheme="majorEastAsia" w:eastAsiaTheme="majorEastAsia" w:hAnsiTheme="majorEastAsia" w:hint="eastAsia"/>
                <w:sz w:val="20"/>
                <w:szCs w:val="20"/>
              </w:rPr>
              <w:t>国</w:t>
            </w:r>
          </w:p>
        </w:tc>
        <w:tc>
          <w:tcPr>
            <w:tcW w:w="982" w:type="dxa"/>
            <w:vAlign w:val="center"/>
          </w:tcPr>
          <w:p w14:paraId="76E143C6" w14:textId="3BDA78A0" w:rsidR="007E7585" w:rsidRPr="0062382C" w:rsidRDefault="007E7585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93.6</w:t>
            </w:r>
          </w:p>
        </w:tc>
        <w:tc>
          <w:tcPr>
            <w:tcW w:w="983" w:type="dxa"/>
            <w:vAlign w:val="center"/>
          </w:tcPr>
          <w:p w14:paraId="3AF202D5" w14:textId="5E93A2E5" w:rsidR="007E7585" w:rsidRPr="0062382C" w:rsidRDefault="007E7585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95.7</w:t>
            </w:r>
          </w:p>
        </w:tc>
        <w:tc>
          <w:tcPr>
            <w:tcW w:w="982" w:type="dxa"/>
            <w:vAlign w:val="center"/>
          </w:tcPr>
          <w:p w14:paraId="7163819D" w14:textId="020EF6B9" w:rsidR="007E7585" w:rsidRPr="0062382C" w:rsidRDefault="007E7585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95.3</w:t>
            </w:r>
          </w:p>
        </w:tc>
        <w:tc>
          <w:tcPr>
            <w:tcW w:w="982" w:type="dxa"/>
            <w:vAlign w:val="center"/>
          </w:tcPr>
          <w:p w14:paraId="117054E1" w14:textId="13EA3DDB" w:rsidR="007E7585" w:rsidRPr="0062382C" w:rsidRDefault="007E7585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97.5</w:t>
            </w:r>
          </w:p>
        </w:tc>
        <w:tc>
          <w:tcPr>
            <w:tcW w:w="983" w:type="dxa"/>
            <w:vAlign w:val="center"/>
          </w:tcPr>
          <w:p w14:paraId="4913B077" w14:textId="11FBF73E" w:rsidR="007E7585" w:rsidRPr="0062382C" w:rsidRDefault="007E7585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95.5</w:t>
            </w:r>
          </w:p>
        </w:tc>
        <w:tc>
          <w:tcPr>
            <w:tcW w:w="982" w:type="dxa"/>
            <w:vAlign w:val="center"/>
          </w:tcPr>
          <w:p w14:paraId="13659136" w14:textId="0F74C538" w:rsidR="007E7585" w:rsidRPr="0062382C" w:rsidRDefault="007E7585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96.4</w:t>
            </w:r>
          </w:p>
        </w:tc>
        <w:tc>
          <w:tcPr>
            <w:tcW w:w="982" w:type="dxa"/>
            <w:vAlign w:val="center"/>
          </w:tcPr>
          <w:p w14:paraId="3A807F23" w14:textId="72E9BE8E" w:rsidR="007E7585" w:rsidRPr="0062382C" w:rsidRDefault="007E7585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96.2</w:t>
            </w:r>
          </w:p>
        </w:tc>
        <w:tc>
          <w:tcPr>
            <w:tcW w:w="983" w:type="dxa"/>
            <w:vAlign w:val="center"/>
          </w:tcPr>
          <w:p w14:paraId="1830823A" w14:textId="76971B8B" w:rsidR="007E7585" w:rsidRDefault="007E7585" w:rsidP="007E75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97.2</w:t>
            </w:r>
          </w:p>
        </w:tc>
      </w:tr>
    </w:tbl>
    <w:p w14:paraId="41F94BF4" w14:textId="5E4F0751" w:rsidR="0026267E" w:rsidRDefault="009A1205" w:rsidP="005113FB">
      <w:pPr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0" distR="0" wp14:anchorId="0441227D" wp14:editId="777CAC19">
            <wp:extent cx="5581650" cy="3333750"/>
            <wp:effectExtent l="0" t="0" r="0" b="0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7430BBA" w14:textId="77777777" w:rsidR="009A1205" w:rsidRDefault="009A1205" w:rsidP="005113FB">
      <w:pPr>
        <w:rPr>
          <w:rFonts w:asciiTheme="majorEastAsia" w:eastAsiaTheme="majorEastAsia" w:hAnsiTheme="majorEastAsia"/>
        </w:rPr>
      </w:pPr>
    </w:p>
    <w:p w14:paraId="5BD8B164" w14:textId="77777777" w:rsidR="005113FB" w:rsidRPr="001B1444" w:rsidRDefault="005113FB" w:rsidP="005113FB">
      <w:pPr>
        <w:rPr>
          <w:rFonts w:asciiTheme="majorEastAsia" w:eastAsiaTheme="majorEastAsia" w:hAnsiTheme="majorEastAsia"/>
          <w:sz w:val="18"/>
          <w:szCs w:val="18"/>
        </w:rPr>
      </w:pPr>
      <w:r w:rsidRPr="003732BB">
        <w:rPr>
          <w:rFonts w:asciiTheme="majorEastAsia" w:eastAsiaTheme="majorEastAsia" w:hAnsiTheme="majorEastAsia" w:hint="eastAsia"/>
          <w:sz w:val="22"/>
        </w:rPr>
        <w:t xml:space="preserve">表２　</w:t>
      </w:r>
      <w:r>
        <w:rPr>
          <w:rFonts w:asciiTheme="majorEastAsia" w:eastAsiaTheme="majorEastAsia" w:hAnsiTheme="majorEastAsia" w:hint="eastAsia"/>
          <w:sz w:val="22"/>
        </w:rPr>
        <w:t>２</w:t>
      </w:r>
      <w:r w:rsidRPr="003732BB">
        <w:rPr>
          <w:rFonts w:asciiTheme="majorEastAsia" w:eastAsiaTheme="majorEastAsia" w:hAnsiTheme="majorEastAsia" w:hint="eastAsia"/>
          <w:sz w:val="22"/>
        </w:rPr>
        <w:t>期接種率</w:t>
      </w:r>
      <w:r w:rsidRPr="005113FB">
        <w:rPr>
          <w:rFonts w:asciiTheme="majorEastAsia" w:eastAsiaTheme="majorEastAsia" w:hAnsiTheme="majorEastAsia" w:hint="eastAsia"/>
          <w:spacing w:val="1"/>
          <w:w w:val="87"/>
          <w:kern w:val="0"/>
          <w:sz w:val="22"/>
          <w:fitText w:val="6160" w:id="1639157249"/>
        </w:rPr>
        <w:t>（５歳以上７歳未満で小学校入学前の１年間、年度内に６歳になる者</w:t>
      </w:r>
      <w:r w:rsidRPr="005113FB">
        <w:rPr>
          <w:rFonts w:asciiTheme="majorEastAsia" w:eastAsiaTheme="majorEastAsia" w:hAnsiTheme="majorEastAsia" w:hint="eastAsia"/>
          <w:spacing w:val="-3"/>
          <w:w w:val="87"/>
          <w:kern w:val="0"/>
          <w:sz w:val="22"/>
          <w:fitText w:val="6160" w:id="1639157249"/>
        </w:rPr>
        <w:t>）</w:t>
      </w:r>
      <w:r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1B1444">
        <w:rPr>
          <w:rFonts w:asciiTheme="majorEastAsia" w:eastAsiaTheme="majorEastAsia" w:hAnsiTheme="majorEastAsia" w:hint="eastAsia"/>
          <w:sz w:val="18"/>
          <w:szCs w:val="18"/>
        </w:rPr>
        <w:t>（％）</w:t>
      </w:r>
    </w:p>
    <w:tbl>
      <w:tblPr>
        <w:tblStyle w:val="a7"/>
        <w:tblW w:w="8830" w:type="dxa"/>
        <w:jc w:val="center"/>
        <w:tblInd w:w="319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981"/>
        <w:gridCol w:w="981"/>
        <w:gridCol w:w="981"/>
        <w:gridCol w:w="981"/>
        <w:gridCol w:w="981"/>
        <w:gridCol w:w="982"/>
      </w:tblGrid>
      <w:tr w:rsidR="009A1205" w:rsidRPr="0062382C" w14:paraId="551A388A" w14:textId="77777777" w:rsidTr="007B73A8">
        <w:trPr>
          <w:jc w:val="center"/>
        </w:trPr>
        <w:tc>
          <w:tcPr>
            <w:tcW w:w="981" w:type="dxa"/>
            <w:tcBorders>
              <w:tl2br w:val="single" w:sz="4" w:space="0" w:color="auto"/>
            </w:tcBorders>
            <w:shd w:val="clear" w:color="auto" w:fill="EEECE1" w:themeFill="background2"/>
            <w:vAlign w:val="center"/>
          </w:tcPr>
          <w:p w14:paraId="231A2FC2" w14:textId="77777777" w:rsidR="009A1205" w:rsidRPr="0062382C" w:rsidRDefault="009A1205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14:paraId="3EA6E491" w14:textId="4DC5DE1E" w:rsidR="009A1205" w:rsidRPr="0062382C" w:rsidRDefault="009A1205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H21年度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14:paraId="239B6645" w14:textId="490F9E1E" w:rsidR="009A1205" w:rsidRPr="0062382C" w:rsidRDefault="009A1205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H22年度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14:paraId="1BAF2582" w14:textId="4CDEEE45" w:rsidR="009A1205" w:rsidRPr="0062382C" w:rsidRDefault="009A1205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H23年度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14:paraId="293EA7CC" w14:textId="64A37929" w:rsidR="009A1205" w:rsidRPr="0062382C" w:rsidRDefault="009A1205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H24年度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14:paraId="63B80018" w14:textId="41ED5CE1" w:rsidR="009A1205" w:rsidRPr="0062382C" w:rsidRDefault="009A1205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H25年度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14:paraId="24E88165" w14:textId="0710FD22" w:rsidR="009A1205" w:rsidRPr="0062382C" w:rsidRDefault="009A1205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H26年度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14:paraId="06B8D005" w14:textId="6FE7AF0C" w:rsidR="009A1205" w:rsidRPr="0062382C" w:rsidRDefault="009A1205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H27年度</w:t>
            </w:r>
          </w:p>
        </w:tc>
        <w:tc>
          <w:tcPr>
            <w:tcW w:w="982" w:type="dxa"/>
            <w:shd w:val="clear" w:color="auto" w:fill="EEECE1" w:themeFill="background2"/>
            <w:vAlign w:val="center"/>
          </w:tcPr>
          <w:p w14:paraId="7B10F880" w14:textId="17FD9611" w:rsidR="009A1205" w:rsidRPr="0062382C" w:rsidRDefault="009A1205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H28年度</w:t>
            </w:r>
          </w:p>
        </w:tc>
      </w:tr>
      <w:tr w:rsidR="005113FB" w:rsidRPr="0062382C" w14:paraId="6B7E7081" w14:textId="77777777" w:rsidTr="007B73A8">
        <w:trPr>
          <w:trHeight w:val="381"/>
          <w:jc w:val="center"/>
        </w:trPr>
        <w:tc>
          <w:tcPr>
            <w:tcW w:w="981" w:type="dxa"/>
            <w:vAlign w:val="center"/>
          </w:tcPr>
          <w:p w14:paraId="69F7F181" w14:textId="77777777" w:rsidR="005113FB" w:rsidRPr="00210E7D" w:rsidRDefault="005113FB" w:rsidP="007B73A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大阪府</w:t>
            </w:r>
          </w:p>
        </w:tc>
        <w:tc>
          <w:tcPr>
            <w:tcW w:w="981" w:type="dxa"/>
            <w:vAlign w:val="center"/>
          </w:tcPr>
          <w:p w14:paraId="67F8C6DD" w14:textId="77777777" w:rsidR="005113FB" w:rsidRPr="00210E7D" w:rsidRDefault="005113FB" w:rsidP="007B73A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88.9</w:t>
            </w:r>
          </w:p>
        </w:tc>
        <w:tc>
          <w:tcPr>
            <w:tcW w:w="981" w:type="dxa"/>
            <w:vAlign w:val="center"/>
          </w:tcPr>
          <w:p w14:paraId="4DF206CB" w14:textId="77777777" w:rsidR="005113FB" w:rsidRPr="00210E7D" w:rsidRDefault="005113FB" w:rsidP="007B73A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90.9</w:t>
            </w:r>
          </w:p>
        </w:tc>
        <w:tc>
          <w:tcPr>
            <w:tcW w:w="981" w:type="dxa"/>
            <w:vAlign w:val="center"/>
          </w:tcPr>
          <w:p w14:paraId="58FB72E9" w14:textId="77777777" w:rsidR="005113FB" w:rsidRPr="00210E7D" w:rsidRDefault="005113FB" w:rsidP="007B73A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91.5</w:t>
            </w:r>
          </w:p>
        </w:tc>
        <w:tc>
          <w:tcPr>
            <w:tcW w:w="981" w:type="dxa"/>
            <w:vAlign w:val="center"/>
          </w:tcPr>
          <w:p w14:paraId="41743454" w14:textId="77777777" w:rsidR="005113FB" w:rsidRPr="00210E7D" w:rsidRDefault="005113FB" w:rsidP="007B73A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93.0</w:t>
            </w:r>
          </w:p>
        </w:tc>
        <w:tc>
          <w:tcPr>
            <w:tcW w:w="981" w:type="dxa"/>
            <w:vAlign w:val="center"/>
          </w:tcPr>
          <w:p w14:paraId="220852A2" w14:textId="77777777" w:rsidR="005113FB" w:rsidRPr="00210E7D" w:rsidRDefault="005113FB" w:rsidP="007B73A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92.2</w:t>
            </w:r>
          </w:p>
        </w:tc>
        <w:tc>
          <w:tcPr>
            <w:tcW w:w="981" w:type="dxa"/>
            <w:vAlign w:val="center"/>
          </w:tcPr>
          <w:p w14:paraId="3456DBB5" w14:textId="77777777" w:rsidR="005113FB" w:rsidRPr="00210E7D" w:rsidRDefault="005113FB" w:rsidP="007B73A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91.6</w:t>
            </w:r>
          </w:p>
        </w:tc>
        <w:tc>
          <w:tcPr>
            <w:tcW w:w="981" w:type="dxa"/>
            <w:vAlign w:val="center"/>
          </w:tcPr>
          <w:p w14:paraId="033773D8" w14:textId="77777777" w:rsidR="005113FB" w:rsidRPr="00210E7D" w:rsidRDefault="005113FB" w:rsidP="007B73A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92.2</w:t>
            </w:r>
          </w:p>
        </w:tc>
        <w:tc>
          <w:tcPr>
            <w:tcW w:w="982" w:type="dxa"/>
            <w:vAlign w:val="center"/>
          </w:tcPr>
          <w:p w14:paraId="0163C4B8" w14:textId="77777777" w:rsidR="005113FB" w:rsidRPr="00210E7D" w:rsidRDefault="005113FB" w:rsidP="007B73A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0E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92.8</w:t>
            </w:r>
          </w:p>
        </w:tc>
      </w:tr>
      <w:tr w:rsidR="005113FB" w:rsidRPr="0062382C" w14:paraId="65FD55CF" w14:textId="77777777" w:rsidTr="007B73A8">
        <w:trPr>
          <w:trHeight w:val="401"/>
          <w:jc w:val="center"/>
        </w:trPr>
        <w:tc>
          <w:tcPr>
            <w:tcW w:w="981" w:type="dxa"/>
            <w:vAlign w:val="center"/>
          </w:tcPr>
          <w:p w14:paraId="6CAEF566" w14:textId="77777777" w:rsidR="005113FB" w:rsidRPr="0062382C" w:rsidRDefault="005113FB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382C">
              <w:rPr>
                <w:rFonts w:asciiTheme="majorEastAsia" w:eastAsiaTheme="majorEastAsia" w:hAnsiTheme="majorEastAsia" w:hint="eastAsia"/>
                <w:sz w:val="20"/>
                <w:szCs w:val="20"/>
              </w:rPr>
              <w:t>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2382C">
              <w:rPr>
                <w:rFonts w:asciiTheme="majorEastAsia" w:eastAsiaTheme="majorEastAsia" w:hAnsiTheme="majorEastAsia" w:hint="eastAsia"/>
                <w:sz w:val="20"/>
                <w:szCs w:val="20"/>
              </w:rPr>
              <w:t>国</w:t>
            </w:r>
          </w:p>
        </w:tc>
        <w:tc>
          <w:tcPr>
            <w:tcW w:w="981" w:type="dxa"/>
            <w:vAlign w:val="center"/>
          </w:tcPr>
          <w:p w14:paraId="0F093056" w14:textId="77777777" w:rsidR="005113FB" w:rsidRPr="0062382C" w:rsidRDefault="005113FB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92.3</w:t>
            </w:r>
          </w:p>
        </w:tc>
        <w:tc>
          <w:tcPr>
            <w:tcW w:w="981" w:type="dxa"/>
            <w:vAlign w:val="center"/>
          </w:tcPr>
          <w:p w14:paraId="6E900478" w14:textId="77777777" w:rsidR="005113FB" w:rsidRPr="0062382C" w:rsidRDefault="005113FB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92.2</w:t>
            </w:r>
          </w:p>
        </w:tc>
        <w:tc>
          <w:tcPr>
            <w:tcW w:w="981" w:type="dxa"/>
            <w:vAlign w:val="center"/>
          </w:tcPr>
          <w:p w14:paraId="26085666" w14:textId="77777777" w:rsidR="005113FB" w:rsidRPr="0062382C" w:rsidRDefault="005113FB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92.8</w:t>
            </w:r>
          </w:p>
        </w:tc>
        <w:tc>
          <w:tcPr>
            <w:tcW w:w="981" w:type="dxa"/>
            <w:vAlign w:val="center"/>
          </w:tcPr>
          <w:p w14:paraId="28E742A0" w14:textId="77777777" w:rsidR="005113FB" w:rsidRPr="0062382C" w:rsidRDefault="005113FB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93.7</w:t>
            </w:r>
          </w:p>
        </w:tc>
        <w:tc>
          <w:tcPr>
            <w:tcW w:w="981" w:type="dxa"/>
            <w:vAlign w:val="center"/>
          </w:tcPr>
          <w:p w14:paraId="4AF3B71C" w14:textId="77777777" w:rsidR="005113FB" w:rsidRPr="0062382C" w:rsidRDefault="005113FB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93.0</w:t>
            </w:r>
          </w:p>
        </w:tc>
        <w:tc>
          <w:tcPr>
            <w:tcW w:w="981" w:type="dxa"/>
            <w:vAlign w:val="center"/>
          </w:tcPr>
          <w:p w14:paraId="02C495DA" w14:textId="77777777" w:rsidR="005113FB" w:rsidRPr="0062382C" w:rsidRDefault="005113FB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93.3</w:t>
            </w:r>
          </w:p>
        </w:tc>
        <w:tc>
          <w:tcPr>
            <w:tcW w:w="981" w:type="dxa"/>
            <w:vAlign w:val="center"/>
          </w:tcPr>
          <w:p w14:paraId="4AB57628" w14:textId="77777777" w:rsidR="005113FB" w:rsidRPr="0062382C" w:rsidRDefault="005113FB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92.9</w:t>
            </w:r>
          </w:p>
        </w:tc>
        <w:tc>
          <w:tcPr>
            <w:tcW w:w="982" w:type="dxa"/>
            <w:vAlign w:val="center"/>
          </w:tcPr>
          <w:p w14:paraId="2E82AB96" w14:textId="77777777" w:rsidR="005113FB" w:rsidRDefault="005113FB" w:rsidP="007B73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93.1</w:t>
            </w:r>
          </w:p>
        </w:tc>
      </w:tr>
    </w:tbl>
    <w:p w14:paraId="4594ABC1" w14:textId="381C40BC" w:rsidR="0026267E" w:rsidRDefault="0026267E" w:rsidP="005113FB">
      <w:pPr>
        <w:jc w:val="center"/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0" distR="0" wp14:anchorId="2EEC45B0" wp14:editId="04E33D89">
            <wp:extent cx="5581650" cy="3057525"/>
            <wp:effectExtent l="0" t="0" r="0" b="0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sectPr w:rsidR="0026267E" w:rsidSect="005113FB">
      <w:footerReference w:type="default" r:id="rId14"/>
      <w:pgSz w:w="11906" w:h="16838" w:code="9"/>
      <w:pgMar w:top="1134" w:right="1418" w:bottom="567" w:left="1701" w:header="567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03EB0" w14:textId="77777777" w:rsidR="00FE41D7" w:rsidRDefault="00FE41D7" w:rsidP="002C7E6D">
      <w:r>
        <w:separator/>
      </w:r>
    </w:p>
  </w:endnote>
  <w:endnote w:type="continuationSeparator" w:id="0">
    <w:p w14:paraId="747C90CA" w14:textId="77777777" w:rsidR="00FE41D7" w:rsidRDefault="00FE41D7" w:rsidP="002C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FEFE" w14:textId="74B55FD3" w:rsidR="00C5127F" w:rsidRDefault="00C5127F">
    <w:pPr>
      <w:pStyle w:val="ac"/>
      <w:jc w:val="center"/>
    </w:pPr>
  </w:p>
  <w:p w14:paraId="2A4EFC2F" w14:textId="77777777" w:rsidR="00C5127F" w:rsidRDefault="00C5127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40135" w14:textId="77777777" w:rsidR="00FE41D7" w:rsidRDefault="00FE41D7" w:rsidP="002C7E6D">
      <w:r>
        <w:separator/>
      </w:r>
    </w:p>
  </w:footnote>
  <w:footnote w:type="continuationSeparator" w:id="0">
    <w:p w14:paraId="735DF467" w14:textId="77777777" w:rsidR="00FE41D7" w:rsidRDefault="00FE41D7" w:rsidP="002C7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0EFF"/>
    <w:multiLevelType w:val="hybridMultilevel"/>
    <w:tmpl w:val="5CE8C6D6"/>
    <w:lvl w:ilvl="0" w:tplc="27E26DC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12"/>
    <w:rsid w:val="000216C9"/>
    <w:rsid w:val="0002498E"/>
    <w:rsid w:val="00027260"/>
    <w:rsid w:val="000454AE"/>
    <w:rsid w:val="00051F1C"/>
    <w:rsid w:val="0005506A"/>
    <w:rsid w:val="000652ED"/>
    <w:rsid w:val="00076242"/>
    <w:rsid w:val="000A00FE"/>
    <w:rsid w:val="000A1C74"/>
    <w:rsid w:val="000E4F4A"/>
    <w:rsid w:val="000F739B"/>
    <w:rsid w:val="0010207C"/>
    <w:rsid w:val="0011667A"/>
    <w:rsid w:val="001412EB"/>
    <w:rsid w:val="001429EA"/>
    <w:rsid w:val="00156EEA"/>
    <w:rsid w:val="001653C7"/>
    <w:rsid w:val="00167BC8"/>
    <w:rsid w:val="001849C6"/>
    <w:rsid w:val="0019076F"/>
    <w:rsid w:val="00191012"/>
    <w:rsid w:val="001B1444"/>
    <w:rsid w:val="00203B1B"/>
    <w:rsid w:val="00210E7D"/>
    <w:rsid w:val="002148A3"/>
    <w:rsid w:val="00220494"/>
    <w:rsid w:val="0026267E"/>
    <w:rsid w:val="00264813"/>
    <w:rsid w:val="002649C9"/>
    <w:rsid w:val="00282099"/>
    <w:rsid w:val="002823B3"/>
    <w:rsid w:val="00297529"/>
    <w:rsid w:val="002A5899"/>
    <w:rsid w:val="002A60F5"/>
    <w:rsid w:val="002B3F42"/>
    <w:rsid w:val="002C2A14"/>
    <w:rsid w:val="002C502C"/>
    <w:rsid w:val="002C595D"/>
    <w:rsid w:val="002C7E6D"/>
    <w:rsid w:val="002D1DFA"/>
    <w:rsid w:val="002E03E7"/>
    <w:rsid w:val="002E0FB3"/>
    <w:rsid w:val="00302046"/>
    <w:rsid w:val="00336A33"/>
    <w:rsid w:val="003471E7"/>
    <w:rsid w:val="003732BB"/>
    <w:rsid w:val="003A1834"/>
    <w:rsid w:val="003B305E"/>
    <w:rsid w:val="003E4479"/>
    <w:rsid w:val="00436DE2"/>
    <w:rsid w:val="004530C8"/>
    <w:rsid w:val="004656A6"/>
    <w:rsid w:val="00475A79"/>
    <w:rsid w:val="00485604"/>
    <w:rsid w:val="004A627C"/>
    <w:rsid w:val="004B4A04"/>
    <w:rsid w:val="004C423E"/>
    <w:rsid w:val="004C4DF4"/>
    <w:rsid w:val="004D740D"/>
    <w:rsid w:val="004E58D3"/>
    <w:rsid w:val="00501E48"/>
    <w:rsid w:val="005026C9"/>
    <w:rsid w:val="005113FB"/>
    <w:rsid w:val="00530325"/>
    <w:rsid w:val="00540802"/>
    <w:rsid w:val="00544F3C"/>
    <w:rsid w:val="005471A0"/>
    <w:rsid w:val="00586BDC"/>
    <w:rsid w:val="00587726"/>
    <w:rsid w:val="00614155"/>
    <w:rsid w:val="0062382C"/>
    <w:rsid w:val="00636C83"/>
    <w:rsid w:val="00656E01"/>
    <w:rsid w:val="00685A46"/>
    <w:rsid w:val="006C0AC5"/>
    <w:rsid w:val="006D6F3A"/>
    <w:rsid w:val="006F6794"/>
    <w:rsid w:val="00754234"/>
    <w:rsid w:val="00754EEF"/>
    <w:rsid w:val="00772CE5"/>
    <w:rsid w:val="00777079"/>
    <w:rsid w:val="0079168F"/>
    <w:rsid w:val="007957F2"/>
    <w:rsid w:val="007A2076"/>
    <w:rsid w:val="007C03A3"/>
    <w:rsid w:val="007C7A25"/>
    <w:rsid w:val="007E2181"/>
    <w:rsid w:val="007E7585"/>
    <w:rsid w:val="008113BE"/>
    <w:rsid w:val="00823EAB"/>
    <w:rsid w:val="0082408F"/>
    <w:rsid w:val="0083666E"/>
    <w:rsid w:val="00845233"/>
    <w:rsid w:val="00847727"/>
    <w:rsid w:val="00847F9C"/>
    <w:rsid w:val="00873428"/>
    <w:rsid w:val="00890452"/>
    <w:rsid w:val="008A3597"/>
    <w:rsid w:val="008B0E07"/>
    <w:rsid w:val="008B48D9"/>
    <w:rsid w:val="008B4BEE"/>
    <w:rsid w:val="008D3BD6"/>
    <w:rsid w:val="008D6DD9"/>
    <w:rsid w:val="008F02BB"/>
    <w:rsid w:val="009135DA"/>
    <w:rsid w:val="00920242"/>
    <w:rsid w:val="00950089"/>
    <w:rsid w:val="00955D15"/>
    <w:rsid w:val="009A1205"/>
    <w:rsid w:val="009A2D3A"/>
    <w:rsid w:val="009A6F41"/>
    <w:rsid w:val="009C6344"/>
    <w:rsid w:val="009E4FD6"/>
    <w:rsid w:val="00A25A68"/>
    <w:rsid w:val="00A25F2B"/>
    <w:rsid w:val="00A2754E"/>
    <w:rsid w:val="00A45229"/>
    <w:rsid w:val="00A5521E"/>
    <w:rsid w:val="00A56715"/>
    <w:rsid w:val="00A628AB"/>
    <w:rsid w:val="00A7328F"/>
    <w:rsid w:val="00A81E40"/>
    <w:rsid w:val="00A83504"/>
    <w:rsid w:val="00A84AE0"/>
    <w:rsid w:val="00A92797"/>
    <w:rsid w:val="00AB5BA1"/>
    <w:rsid w:val="00AC15B5"/>
    <w:rsid w:val="00AC7DEB"/>
    <w:rsid w:val="00AE1B92"/>
    <w:rsid w:val="00AE7830"/>
    <w:rsid w:val="00AF2018"/>
    <w:rsid w:val="00B32EA1"/>
    <w:rsid w:val="00B36501"/>
    <w:rsid w:val="00B375CD"/>
    <w:rsid w:val="00B46030"/>
    <w:rsid w:val="00B47ABE"/>
    <w:rsid w:val="00B56DA3"/>
    <w:rsid w:val="00B71144"/>
    <w:rsid w:val="00B7215D"/>
    <w:rsid w:val="00B73FED"/>
    <w:rsid w:val="00B8257E"/>
    <w:rsid w:val="00B86688"/>
    <w:rsid w:val="00BA2393"/>
    <w:rsid w:val="00BB6C41"/>
    <w:rsid w:val="00BC0C0E"/>
    <w:rsid w:val="00BE6EAC"/>
    <w:rsid w:val="00C3153E"/>
    <w:rsid w:val="00C33597"/>
    <w:rsid w:val="00C44625"/>
    <w:rsid w:val="00C453F4"/>
    <w:rsid w:val="00C5127F"/>
    <w:rsid w:val="00C5450B"/>
    <w:rsid w:val="00C7385F"/>
    <w:rsid w:val="00C8352E"/>
    <w:rsid w:val="00C849BD"/>
    <w:rsid w:val="00CC2CCD"/>
    <w:rsid w:val="00CE04C8"/>
    <w:rsid w:val="00CE1350"/>
    <w:rsid w:val="00D0057C"/>
    <w:rsid w:val="00D0505D"/>
    <w:rsid w:val="00D06D22"/>
    <w:rsid w:val="00D15AAE"/>
    <w:rsid w:val="00D31EA9"/>
    <w:rsid w:val="00D46BAA"/>
    <w:rsid w:val="00D56459"/>
    <w:rsid w:val="00D65F24"/>
    <w:rsid w:val="00D66837"/>
    <w:rsid w:val="00DB11DC"/>
    <w:rsid w:val="00DB7BEE"/>
    <w:rsid w:val="00DC5F6B"/>
    <w:rsid w:val="00DD5624"/>
    <w:rsid w:val="00DF722D"/>
    <w:rsid w:val="00E066AE"/>
    <w:rsid w:val="00E129F6"/>
    <w:rsid w:val="00E47DB4"/>
    <w:rsid w:val="00E8055A"/>
    <w:rsid w:val="00E83599"/>
    <w:rsid w:val="00E94CF8"/>
    <w:rsid w:val="00EB6052"/>
    <w:rsid w:val="00EC11A9"/>
    <w:rsid w:val="00EC1CCC"/>
    <w:rsid w:val="00EC2DAA"/>
    <w:rsid w:val="00EC45F1"/>
    <w:rsid w:val="00EC7C11"/>
    <w:rsid w:val="00EF5FD7"/>
    <w:rsid w:val="00F53C2D"/>
    <w:rsid w:val="00F939C3"/>
    <w:rsid w:val="00FA15E5"/>
    <w:rsid w:val="00FB6A8E"/>
    <w:rsid w:val="00FD684A"/>
    <w:rsid w:val="00FE06DB"/>
    <w:rsid w:val="00FE41D7"/>
    <w:rsid w:val="00FE55D4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B87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9101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191012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191012"/>
  </w:style>
  <w:style w:type="character" w:customStyle="1" w:styleId="a6">
    <w:name w:val="日付 (文字)"/>
    <w:basedOn w:val="a0"/>
    <w:link w:val="a5"/>
    <w:uiPriority w:val="99"/>
    <w:semiHidden/>
    <w:rsid w:val="00191012"/>
  </w:style>
  <w:style w:type="table" w:styleId="a7">
    <w:name w:val="Table Grid"/>
    <w:basedOn w:val="a1"/>
    <w:uiPriority w:val="59"/>
    <w:rsid w:val="0019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2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A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7E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7E6D"/>
  </w:style>
  <w:style w:type="paragraph" w:styleId="ac">
    <w:name w:val="footer"/>
    <w:basedOn w:val="a"/>
    <w:link w:val="ad"/>
    <w:uiPriority w:val="99"/>
    <w:unhideWhenUsed/>
    <w:rsid w:val="002C7E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7E6D"/>
  </w:style>
  <w:style w:type="paragraph" w:styleId="ae">
    <w:name w:val="List Paragraph"/>
    <w:basedOn w:val="a"/>
    <w:uiPriority w:val="34"/>
    <w:qFormat/>
    <w:rsid w:val="00685A4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113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9101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191012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191012"/>
  </w:style>
  <w:style w:type="character" w:customStyle="1" w:styleId="a6">
    <w:name w:val="日付 (文字)"/>
    <w:basedOn w:val="a0"/>
    <w:link w:val="a5"/>
    <w:uiPriority w:val="99"/>
    <w:semiHidden/>
    <w:rsid w:val="00191012"/>
  </w:style>
  <w:style w:type="table" w:styleId="a7">
    <w:name w:val="Table Grid"/>
    <w:basedOn w:val="a1"/>
    <w:uiPriority w:val="59"/>
    <w:rsid w:val="0019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2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A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7E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7E6D"/>
  </w:style>
  <w:style w:type="paragraph" w:styleId="ac">
    <w:name w:val="footer"/>
    <w:basedOn w:val="a"/>
    <w:link w:val="ad"/>
    <w:uiPriority w:val="99"/>
    <w:unhideWhenUsed/>
    <w:rsid w:val="002C7E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7E6D"/>
  </w:style>
  <w:style w:type="paragraph" w:styleId="ae">
    <w:name w:val="List Paragraph"/>
    <w:basedOn w:val="a"/>
    <w:uiPriority w:val="34"/>
    <w:qFormat/>
    <w:rsid w:val="00685A4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113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07174103237096E-2"/>
          <c:y val="0.13936351706036745"/>
          <c:w val="0.84596217318328759"/>
          <c:h val="0.64985074448448443"/>
        </c:manualLayout>
      </c:layout>
      <c:lineChart>
        <c:grouping val="standard"/>
        <c:varyColors val="0"/>
        <c:ser>
          <c:idx val="0"/>
          <c:order val="0"/>
          <c:tx>
            <c:strRef>
              <c:f>Sheet1!$B$4</c:f>
              <c:strCache>
                <c:ptCount val="1"/>
                <c:pt idx="0">
                  <c:v>大阪府</c:v>
                </c:pt>
              </c:strCache>
            </c:strRef>
          </c:tx>
          <c:spPr>
            <a:ln w="38100">
              <a:solidFill>
                <a:schemeClr val="accent1"/>
              </a:solidFill>
            </a:ln>
          </c:spPr>
          <c:marker>
            <c:symbol val="none"/>
          </c:marker>
          <c:cat>
            <c:strRef>
              <c:f>Sheet1!$C$3:$J$3</c:f>
              <c:strCache>
                <c:ptCount val="8"/>
                <c:pt idx="0">
                  <c:v>H21年度</c:v>
                </c:pt>
                <c:pt idx="1">
                  <c:v>H22年度</c:v>
                </c:pt>
                <c:pt idx="2">
                  <c:v>H23年度</c:v>
                </c:pt>
                <c:pt idx="3">
                  <c:v>H24年度</c:v>
                </c:pt>
                <c:pt idx="4">
                  <c:v>H25年度</c:v>
                </c:pt>
                <c:pt idx="5">
                  <c:v>H26年度</c:v>
                </c:pt>
                <c:pt idx="6">
                  <c:v>H27年度</c:v>
                </c:pt>
                <c:pt idx="7">
                  <c:v>H28年度</c:v>
                </c:pt>
              </c:strCache>
            </c:strRef>
          </c:cat>
          <c:val>
            <c:numRef>
              <c:f>Sheet1!$C$4:$J$4</c:f>
              <c:numCache>
                <c:formatCode>General</c:formatCode>
                <c:ptCount val="8"/>
                <c:pt idx="0">
                  <c:v>93.7</c:v>
                </c:pt>
                <c:pt idx="1">
                  <c:v>95.2</c:v>
                </c:pt>
                <c:pt idx="2">
                  <c:v>94.9</c:v>
                </c:pt>
                <c:pt idx="3">
                  <c:v>98.1</c:v>
                </c:pt>
                <c:pt idx="4">
                  <c:v>95.1</c:v>
                </c:pt>
                <c:pt idx="5">
                  <c:v>94.8</c:v>
                </c:pt>
                <c:pt idx="6">
                  <c:v>95.1</c:v>
                </c:pt>
                <c:pt idx="7">
                  <c:v>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Sheet1!$B$5</c:f>
              <c:strCache>
                <c:ptCount val="1"/>
                <c:pt idx="0">
                  <c:v>全　国</c:v>
                </c:pt>
              </c:strCache>
            </c:strRef>
          </c:tx>
          <c:marker>
            <c:symbol val="none"/>
          </c:marker>
          <c:cat>
            <c:strRef>
              <c:f>Sheet1!$C$3:$J$3</c:f>
              <c:strCache>
                <c:ptCount val="8"/>
                <c:pt idx="0">
                  <c:v>H21年度</c:v>
                </c:pt>
                <c:pt idx="1">
                  <c:v>H22年度</c:v>
                </c:pt>
                <c:pt idx="2">
                  <c:v>H23年度</c:v>
                </c:pt>
                <c:pt idx="3">
                  <c:v>H24年度</c:v>
                </c:pt>
                <c:pt idx="4">
                  <c:v>H25年度</c:v>
                </c:pt>
                <c:pt idx="5">
                  <c:v>H26年度</c:v>
                </c:pt>
                <c:pt idx="6">
                  <c:v>H27年度</c:v>
                </c:pt>
                <c:pt idx="7">
                  <c:v>H28年度</c:v>
                </c:pt>
              </c:strCache>
            </c:strRef>
          </c:cat>
          <c:val>
            <c:numRef>
              <c:f>Sheet1!$C$5:$J$5</c:f>
              <c:numCache>
                <c:formatCode>General</c:formatCode>
                <c:ptCount val="8"/>
                <c:pt idx="0">
                  <c:v>93.6</c:v>
                </c:pt>
                <c:pt idx="1">
                  <c:v>95.7</c:v>
                </c:pt>
                <c:pt idx="2">
                  <c:v>95.3</c:v>
                </c:pt>
                <c:pt idx="3">
                  <c:v>97.5</c:v>
                </c:pt>
                <c:pt idx="4">
                  <c:v>95.5</c:v>
                </c:pt>
                <c:pt idx="5">
                  <c:v>96.4</c:v>
                </c:pt>
                <c:pt idx="6">
                  <c:v>96.2</c:v>
                </c:pt>
                <c:pt idx="7">
                  <c:v>97.2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162880"/>
        <c:axId val="38278272"/>
      </c:lineChart>
      <c:catAx>
        <c:axId val="9316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38278272"/>
        <c:crosses val="autoZero"/>
        <c:auto val="1"/>
        <c:lblAlgn val="ctr"/>
        <c:lblOffset val="100"/>
        <c:noMultiLvlLbl val="0"/>
      </c:catAx>
      <c:valAx>
        <c:axId val="38278272"/>
        <c:scaling>
          <c:orientation val="minMax"/>
          <c:max val="100"/>
          <c:min val="88"/>
        </c:scaling>
        <c:delete val="0"/>
        <c:axPos val="l"/>
        <c:majorGridlines/>
        <c:minorGridlines>
          <c:spPr>
            <a:ln>
              <a:noFill/>
            </a:ln>
          </c:spPr>
        </c:minorGridlines>
        <c:numFmt formatCode="General" sourceLinked="1"/>
        <c:majorTickMark val="out"/>
        <c:minorTickMark val="none"/>
        <c:tickLblPos val="nextTo"/>
        <c:crossAx val="93162880"/>
        <c:crosses val="autoZero"/>
        <c:crossBetween val="between"/>
        <c:majorUnit val="2"/>
        <c:minorUnit val="0.2"/>
      </c:valAx>
    </c:plotArea>
    <c:legend>
      <c:legendPos val="r"/>
      <c:layout>
        <c:manualLayout>
          <c:xMode val="edge"/>
          <c:yMode val="edge"/>
          <c:x val="0.75487342394884771"/>
          <c:y val="0.60280335822960895"/>
          <c:w val="0.13582345375157925"/>
          <c:h val="0.1522970173064674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  <a:cs typeface="Meiryo UI" panose="020B060403050404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07174103237096E-2"/>
          <c:y val="0.13936351706036745"/>
          <c:w val="0.84596217318328759"/>
          <c:h val="0.64985074448448443"/>
        </c:manualLayout>
      </c:layout>
      <c:lineChart>
        <c:grouping val="standard"/>
        <c:varyColors val="0"/>
        <c:ser>
          <c:idx val="0"/>
          <c:order val="0"/>
          <c:tx>
            <c:strRef>
              <c:f>Sheet1!$B$35</c:f>
              <c:strCache>
                <c:ptCount val="1"/>
                <c:pt idx="0">
                  <c:v>大阪府</c:v>
                </c:pt>
              </c:strCache>
            </c:strRef>
          </c:tx>
          <c:spPr>
            <a:ln w="38100">
              <a:solidFill>
                <a:schemeClr val="accent1"/>
              </a:solidFill>
            </a:ln>
          </c:spPr>
          <c:marker>
            <c:symbol val="none"/>
          </c:marker>
          <c:cat>
            <c:strRef>
              <c:f>Sheet1!$C$34:$J$34</c:f>
              <c:strCache>
                <c:ptCount val="8"/>
                <c:pt idx="0">
                  <c:v>H21年度</c:v>
                </c:pt>
                <c:pt idx="1">
                  <c:v>H22年度</c:v>
                </c:pt>
                <c:pt idx="2">
                  <c:v>H23年度</c:v>
                </c:pt>
                <c:pt idx="3">
                  <c:v>H24年度</c:v>
                </c:pt>
                <c:pt idx="4">
                  <c:v>H25年度</c:v>
                </c:pt>
                <c:pt idx="5">
                  <c:v>H26年度</c:v>
                </c:pt>
                <c:pt idx="6">
                  <c:v>H27年度</c:v>
                </c:pt>
                <c:pt idx="7">
                  <c:v>H28年度</c:v>
                </c:pt>
              </c:strCache>
            </c:strRef>
          </c:cat>
          <c:val>
            <c:numRef>
              <c:f>Sheet1!$C$35:$J$35</c:f>
              <c:numCache>
                <c:formatCode>General</c:formatCode>
                <c:ptCount val="8"/>
                <c:pt idx="0">
                  <c:v>88.9</c:v>
                </c:pt>
                <c:pt idx="1">
                  <c:v>90.9</c:v>
                </c:pt>
                <c:pt idx="2">
                  <c:v>91.5</c:v>
                </c:pt>
                <c:pt idx="3">
                  <c:v>93</c:v>
                </c:pt>
                <c:pt idx="4">
                  <c:v>92.2</c:v>
                </c:pt>
                <c:pt idx="5">
                  <c:v>91.6</c:v>
                </c:pt>
                <c:pt idx="6">
                  <c:v>92.2</c:v>
                </c:pt>
                <c:pt idx="7">
                  <c:v>92.8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Sheet1!$B$36</c:f>
              <c:strCache>
                <c:ptCount val="1"/>
                <c:pt idx="0">
                  <c:v>全　国</c:v>
                </c:pt>
              </c:strCache>
            </c:strRef>
          </c:tx>
          <c:marker>
            <c:symbol val="none"/>
          </c:marker>
          <c:cat>
            <c:strRef>
              <c:f>Sheet1!$C$34:$J$34</c:f>
              <c:strCache>
                <c:ptCount val="8"/>
                <c:pt idx="0">
                  <c:v>H21年度</c:v>
                </c:pt>
                <c:pt idx="1">
                  <c:v>H22年度</c:v>
                </c:pt>
                <c:pt idx="2">
                  <c:v>H23年度</c:v>
                </c:pt>
                <c:pt idx="3">
                  <c:v>H24年度</c:v>
                </c:pt>
                <c:pt idx="4">
                  <c:v>H25年度</c:v>
                </c:pt>
                <c:pt idx="5">
                  <c:v>H26年度</c:v>
                </c:pt>
                <c:pt idx="6">
                  <c:v>H27年度</c:v>
                </c:pt>
                <c:pt idx="7">
                  <c:v>H28年度</c:v>
                </c:pt>
              </c:strCache>
            </c:strRef>
          </c:cat>
          <c:val>
            <c:numRef>
              <c:f>Sheet1!$C$36:$J$36</c:f>
              <c:numCache>
                <c:formatCode>General</c:formatCode>
                <c:ptCount val="8"/>
                <c:pt idx="0">
                  <c:v>92.3</c:v>
                </c:pt>
                <c:pt idx="1">
                  <c:v>92.2</c:v>
                </c:pt>
                <c:pt idx="2">
                  <c:v>92.8</c:v>
                </c:pt>
                <c:pt idx="3">
                  <c:v>93.7</c:v>
                </c:pt>
                <c:pt idx="4">
                  <c:v>93</c:v>
                </c:pt>
                <c:pt idx="5">
                  <c:v>93.3</c:v>
                </c:pt>
                <c:pt idx="6">
                  <c:v>92.9</c:v>
                </c:pt>
                <c:pt idx="7">
                  <c:v>93.1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945664"/>
        <c:axId val="96947200"/>
      </c:lineChart>
      <c:catAx>
        <c:axId val="96945664"/>
        <c:scaling>
          <c:orientation val="minMax"/>
        </c:scaling>
        <c:delete val="0"/>
        <c:axPos val="b"/>
        <c:majorTickMark val="out"/>
        <c:minorTickMark val="none"/>
        <c:tickLblPos val="nextTo"/>
        <c:crossAx val="96947200"/>
        <c:crosses val="autoZero"/>
        <c:auto val="1"/>
        <c:lblAlgn val="ctr"/>
        <c:lblOffset val="100"/>
        <c:noMultiLvlLbl val="0"/>
      </c:catAx>
      <c:valAx>
        <c:axId val="96947200"/>
        <c:scaling>
          <c:orientation val="minMax"/>
          <c:max val="100"/>
          <c:min val="88"/>
        </c:scaling>
        <c:delete val="0"/>
        <c:axPos val="l"/>
        <c:majorGridlines/>
        <c:minorGridlines>
          <c:spPr>
            <a:ln>
              <a:noFill/>
            </a:ln>
          </c:spPr>
        </c:minorGridlines>
        <c:numFmt formatCode="General" sourceLinked="1"/>
        <c:majorTickMark val="out"/>
        <c:minorTickMark val="none"/>
        <c:tickLblPos val="nextTo"/>
        <c:crossAx val="96945664"/>
        <c:crosses val="autoZero"/>
        <c:crossBetween val="between"/>
        <c:majorUnit val="2"/>
        <c:minorUnit val="0.2"/>
      </c:valAx>
    </c:plotArea>
    <c:legend>
      <c:legendPos val="r"/>
      <c:layout>
        <c:manualLayout>
          <c:xMode val="edge"/>
          <c:yMode val="edge"/>
          <c:x val="0.75487342394884771"/>
          <c:y val="0.60280335822960895"/>
          <c:w val="0.13582345375157925"/>
          <c:h val="0.1522970173064674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  <a:cs typeface="Meiryo UI" panose="020B060403050404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0.00902</cdr:x>
      <cdr:y>0.01274</cdr:y>
    </cdr:from>
    <cdr:to>
      <cdr:x>0.10541</cdr:x>
      <cdr:y>0.1035</cdr:y>
    </cdr:to>
    <cdr:sp macro="" textlink="">
      <cdr:nvSpPr>
        <cdr:cNvPr id="3" name="正方形/長方形 2"/>
        <cdr:cNvSpPr/>
      </cdr:nvSpPr>
      <cdr:spPr>
        <a:xfrm xmlns:a="http://schemas.openxmlformats.org/drawingml/2006/main">
          <a:off x="50800" y="50800"/>
          <a:ext cx="542925" cy="3619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1000"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rPr>
            <a:t>(</a:t>
          </a:r>
          <a:r>
            <a:rPr lang="ja-JP" altLang="en-US" sz="1000"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rPr>
            <a:t>％</a:t>
          </a:r>
          <a:r>
            <a:rPr lang="en-US" altLang="ja-JP" sz="1000"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rPr>
            <a:t>)</a:t>
          </a:r>
          <a:endParaRPr lang="ja-JP" sz="1000">
            <a:latin typeface="Meiryo UI" panose="020B0604030504040204" pitchFamily="50" charset="-128"/>
            <a:ea typeface="Meiryo UI" panose="020B0604030504040204" pitchFamily="50" charset="-128"/>
            <a:cs typeface="Meiryo UI" panose="020B0604030504040204" pitchFamily="50" charset="-128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0.00902</cdr:x>
      <cdr:y>0.01274</cdr:y>
    </cdr:from>
    <cdr:to>
      <cdr:x>0.10541</cdr:x>
      <cdr:y>0.1035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50346" y="38953"/>
          <a:ext cx="538016" cy="27750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1000"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rPr>
            <a:t>(</a:t>
          </a:r>
          <a:r>
            <a:rPr lang="ja-JP" altLang="en-US" sz="1000"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rPr>
            <a:t>％</a:t>
          </a:r>
          <a:r>
            <a:rPr lang="en-US" altLang="ja-JP" sz="1000"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rPr>
            <a:t>)</a:t>
          </a:r>
          <a:endParaRPr lang="ja-JP" sz="1000">
            <a:latin typeface="Meiryo UI" panose="020B0604030504040204" pitchFamily="50" charset="-128"/>
            <a:ea typeface="Meiryo UI" panose="020B0604030504040204" pitchFamily="50" charset="-128"/>
            <a:cs typeface="Meiryo UI" panose="020B0604030504040204" pitchFamily="50" charset="-128"/>
          </a:endParaRPr>
        </a:p>
      </cdr:txBody>
    </cdr:sp>
  </cdr:relSizeAnchor>
  <cdr:relSizeAnchor xmlns:cdr="http://schemas.openxmlformats.org/drawingml/2006/chartDrawing">
    <cdr:from>
      <cdr:x>0.0091</cdr:x>
      <cdr:y>0.01661</cdr:y>
    </cdr:from>
    <cdr:to>
      <cdr:x>0.10637</cdr:x>
      <cdr:y>0.13499</cdr:y>
    </cdr:to>
    <cdr:sp macro="" textlink="">
      <cdr:nvSpPr>
        <cdr:cNvPr id="3" name="正方形/長方形 2"/>
        <cdr:cNvSpPr/>
      </cdr:nvSpPr>
      <cdr:spPr>
        <a:xfrm xmlns:a="http://schemas.openxmlformats.org/drawingml/2006/main">
          <a:off x="50800" y="50800"/>
          <a:ext cx="542925" cy="3619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0B42-BBC5-4E2A-AEEA-B860DC29C80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38EF93-A14C-4389-810C-642768D7A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BAD98-6C50-48FD-893F-4105936D2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FE4AFA-BC6C-4C69-B9BC-ACAC12AC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59</cp:revision>
  <cp:lastPrinted>2018-01-31T13:16:00Z</cp:lastPrinted>
  <dcterms:created xsi:type="dcterms:W3CDTF">2017-02-09T11:38:00Z</dcterms:created>
  <dcterms:modified xsi:type="dcterms:W3CDTF">2018-01-31T13:16:00Z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