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646C" w14:textId="798B1469" w:rsidR="00B90B5B" w:rsidRPr="00925D1F" w:rsidRDefault="009B290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E421A4">
        <w:rPr>
          <w:rFonts w:ascii="ＭＳ ゴシック" w:eastAsia="ＭＳ ゴシック" w:hAnsi="ＭＳ ゴシック" w:hint="eastAsia"/>
          <w:b/>
          <w:sz w:val="28"/>
          <w:szCs w:val="28"/>
        </w:rPr>
        <w:t>6</w:t>
      </w:r>
      <w:r w:rsidR="00853403">
        <w:rPr>
          <w:rFonts w:ascii="ＭＳ ゴシック" w:eastAsia="ＭＳ ゴシック" w:hAnsi="ＭＳ ゴシック" w:hint="eastAsia"/>
          <w:b/>
          <w:sz w:val="28"/>
          <w:szCs w:val="28"/>
        </w:rPr>
        <w:t xml:space="preserve">年度　</w:t>
      </w:r>
      <w:r w:rsidR="00B13B0D">
        <w:rPr>
          <w:rFonts w:ascii="ＭＳ ゴシック" w:eastAsia="ＭＳ ゴシック" w:hAnsi="ＭＳ ゴシック" w:hint="eastAsia"/>
          <w:b/>
          <w:sz w:val="28"/>
          <w:szCs w:val="28"/>
        </w:rPr>
        <w:t>事前</w:t>
      </w:r>
      <w:r w:rsidR="00B90B5B" w:rsidRPr="00B90B5B">
        <w:rPr>
          <w:rFonts w:ascii="ＭＳ ゴシック" w:eastAsia="ＭＳ ゴシック" w:hAnsi="ＭＳ ゴシック" w:hint="eastAsia"/>
          <w:b/>
          <w:sz w:val="28"/>
          <w:szCs w:val="28"/>
        </w:rPr>
        <w:t>評価</w:t>
      </w:r>
      <w:r w:rsidR="00F0021D">
        <w:rPr>
          <w:rFonts w:ascii="ＭＳ ゴシック" w:eastAsia="ＭＳ ゴシック" w:hAnsi="ＭＳ ゴシック" w:hint="eastAsia"/>
          <w:b/>
          <w:sz w:val="28"/>
          <w:szCs w:val="28"/>
        </w:rPr>
        <w:t>点検表</w:t>
      </w:r>
      <w:r w:rsidR="00B13B0D">
        <w:rPr>
          <w:rFonts w:ascii="ＭＳ ゴシック" w:eastAsia="ＭＳ ゴシック" w:hAnsi="ＭＳ ゴシック" w:hint="eastAsia"/>
          <w:b/>
          <w:sz w:val="28"/>
          <w:szCs w:val="28"/>
        </w:rPr>
        <w:t>（</w:t>
      </w:r>
      <w:r w:rsidR="00F0021D">
        <w:rPr>
          <w:rFonts w:ascii="ＭＳ ゴシック" w:eastAsia="ＭＳ ゴシック" w:hAnsi="ＭＳ ゴシック" w:hint="eastAsia"/>
          <w:b/>
          <w:sz w:val="28"/>
          <w:szCs w:val="28"/>
        </w:rPr>
        <w:t>内部評価</w:t>
      </w:r>
      <w:r w:rsidR="00B13B0D">
        <w:rPr>
          <w:rFonts w:ascii="ＭＳ ゴシック" w:eastAsia="ＭＳ ゴシック" w:hAnsi="ＭＳ ゴシック" w:hint="eastAsia"/>
          <w:b/>
          <w:sz w:val="28"/>
          <w:szCs w:val="28"/>
        </w:rPr>
        <w:t>）</w:t>
      </w:r>
    </w:p>
    <w:tbl>
      <w:tblPr>
        <w:tblW w:w="107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8715"/>
        <w:gridCol w:w="14"/>
      </w:tblGrid>
      <w:tr w:rsidR="00987BEF" w:rsidRPr="00987BEF" w14:paraId="4FF7E201" w14:textId="77777777" w:rsidTr="00257B98">
        <w:trPr>
          <w:cantSplit/>
          <w:trHeight w:val="397"/>
        </w:trPr>
        <w:tc>
          <w:tcPr>
            <w:tcW w:w="2030" w:type="dxa"/>
            <w:shd w:val="clear" w:color="auto" w:fill="E6E6E6"/>
            <w:vAlign w:val="center"/>
          </w:tcPr>
          <w:p w14:paraId="3AF85355" w14:textId="77777777" w:rsidR="00B90B5B" w:rsidRPr="00987BEF" w:rsidRDefault="00B90B5B" w:rsidP="00701A04">
            <w:pPr>
              <w:jc w:val="center"/>
              <w:rPr>
                <w:rFonts w:ascii="ＭＳ 明朝" w:hAnsi="ＭＳ 明朝"/>
                <w:szCs w:val="21"/>
              </w:rPr>
            </w:pPr>
            <w:r w:rsidRPr="00987BEF">
              <w:rPr>
                <w:rFonts w:ascii="ＭＳ 明朝" w:hAnsi="ＭＳ 明朝" w:hint="eastAsia"/>
                <w:szCs w:val="21"/>
              </w:rPr>
              <w:t>事業名</w:t>
            </w:r>
          </w:p>
        </w:tc>
        <w:tc>
          <w:tcPr>
            <w:tcW w:w="8729" w:type="dxa"/>
            <w:gridSpan w:val="2"/>
          </w:tcPr>
          <w:p w14:paraId="63A1C462" w14:textId="3A427A6C" w:rsidR="00B90B5B" w:rsidRPr="00987BEF" w:rsidRDefault="00E421A4" w:rsidP="00A90C04">
            <w:pPr>
              <w:rPr>
                <w:rFonts w:ascii="ＭＳ 明朝" w:hAnsi="ＭＳ 明朝"/>
                <w:szCs w:val="21"/>
              </w:rPr>
            </w:pPr>
            <w:r w:rsidRPr="00987BEF">
              <w:rPr>
                <w:rFonts w:ascii="ＭＳ 明朝" w:hAnsi="ＭＳ 明朝" w:hint="eastAsia"/>
                <w:szCs w:val="21"/>
              </w:rPr>
              <w:t xml:space="preserve">堺泉北港　汐見沖地区　</w:t>
            </w:r>
            <w:r w:rsidR="009A4484" w:rsidRPr="00987BEF">
              <w:rPr>
                <w:rFonts w:ascii="ＭＳ 明朝" w:hAnsi="ＭＳ 明朝" w:hint="eastAsia"/>
                <w:szCs w:val="21"/>
              </w:rPr>
              <w:t>港湾関連用地</w:t>
            </w:r>
            <w:r w:rsidR="0088172B">
              <w:rPr>
                <w:rFonts w:ascii="ＭＳ 明朝" w:hAnsi="ＭＳ 明朝" w:hint="eastAsia"/>
                <w:szCs w:val="21"/>
              </w:rPr>
              <w:t>道路</w:t>
            </w:r>
            <w:r w:rsidRPr="00987BEF">
              <w:rPr>
                <w:rFonts w:ascii="ＭＳ 明朝" w:hAnsi="ＭＳ 明朝" w:hint="eastAsia"/>
                <w:szCs w:val="21"/>
              </w:rPr>
              <w:t>整備事業</w:t>
            </w:r>
          </w:p>
        </w:tc>
      </w:tr>
      <w:tr w:rsidR="00987BEF" w:rsidRPr="00987BEF" w14:paraId="2BA019D5" w14:textId="77777777" w:rsidTr="00257B98">
        <w:trPr>
          <w:cantSplit/>
          <w:trHeight w:val="380"/>
        </w:trPr>
        <w:tc>
          <w:tcPr>
            <w:tcW w:w="2030" w:type="dxa"/>
            <w:shd w:val="clear" w:color="auto" w:fill="E6E6E6"/>
            <w:vAlign w:val="center"/>
          </w:tcPr>
          <w:p w14:paraId="73A62A9C" w14:textId="77777777" w:rsidR="00B90B5B" w:rsidRPr="00987BEF" w:rsidRDefault="00B90B5B" w:rsidP="00701A04">
            <w:pPr>
              <w:jc w:val="center"/>
              <w:rPr>
                <w:rFonts w:ascii="ＭＳ 明朝" w:hAnsi="ＭＳ 明朝"/>
                <w:szCs w:val="21"/>
              </w:rPr>
            </w:pPr>
            <w:r w:rsidRPr="00987BEF">
              <w:rPr>
                <w:rFonts w:ascii="ＭＳ 明朝" w:hAnsi="ＭＳ 明朝" w:hint="eastAsia"/>
                <w:szCs w:val="21"/>
              </w:rPr>
              <w:t>担当部署</w:t>
            </w:r>
          </w:p>
        </w:tc>
        <w:tc>
          <w:tcPr>
            <w:tcW w:w="8729" w:type="dxa"/>
            <w:gridSpan w:val="2"/>
          </w:tcPr>
          <w:p w14:paraId="48BD923D" w14:textId="0A27BFA2" w:rsidR="00B90B5B" w:rsidRPr="00987BEF" w:rsidRDefault="00B56369" w:rsidP="00A90C04">
            <w:pPr>
              <w:rPr>
                <w:rFonts w:ascii="ＭＳ 明朝" w:hAnsi="ＭＳ 明朝"/>
                <w:szCs w:val="21"/>
              </w:rPr>
            </w:pPr>
            <w:r w:rsidRPr="00987BEF">
              <w:rPr>
                <w:rFonts w:ascii="ＭＳ 明朝" w:hAnsi="ＭＳ 明朝" w:hint="eastAsia"/>
                <w:szCs w:val="21"/>
              </w:rPr>
              <w:t xml:space="preserve">大阪港湾局　泉州港湾・海岸部　</w:t>
            </w:r>
            <w:r w:rsidR="00E421A4" w:rsidRPr="00987BEF">
              <w:rPr>
                <w:rFonts w:ascii="ＭＳ 明朝" w:hAnsi="ＭＳ 明朝" w:hint="eastAsia"/>
                <w:szCs w:val="21"/>
              </w:rPr>
              <w:t>事業企画・防災課</w:t>
            </w:r>
            <w:r w:rsidRPr="00987BEF">
              <w:rPr>
                <w:rFonts w:ascii="ＭＳ 明朝" w:hAnsi="ＭＳ 明朝" w:hint="eastAsia"/>
                <w:szCs w:val="21"/>
              </w:rPr>
              <w:t>（地域調整担当）（連絡先：</w:t>
            </w:r>
            <w:r w:rsidRPr="00987BEF">
              <w:rPr>
                <w:rFonts w:ascii="ＭＳ 明朝" w:hAnsi="ＭＳ 明朝"/>
                <w:szCs w:val="21"/>
              </w:rPr>
              <w:t>0725-21-7232</w:t>
            </w:r>
            <w:r w:rsidRPr="00987BEF">
              <w:rPr>
                <w:rFonts w:ascii="ＭＳ 明朝" w:hAnsi="ＭＳ 明朝" w:hint="eastAsia"/>
                <w:szCs w:val="21"/>
              </w:rPr>
              <w:t>）</w:t>
            </w:r>
          </w:p>
        </w:tc>
      </w:tr>
      <w:tr w:rsidR="00987BEF" w:rsidRPr="00987BEF" w14:paraId="5F7FF3DB" w14:textId="77777777" w:rsidTr="00257B98">
        <w:trPr>
          <w:cantSplit/>
          <w:trHeight w:val="397"/>
        </w:trPr>
        <w:tc>
          <w:tcPr>
            <w:tcW w:w="2030" w:type="dxa"/>
            <w:shd w:val="clear" w:color="auto" w:fill="E6E6E6"/>
            <w:vAlign w:val="center"/>
          </w:tcPr>
          <w:p w14:paraId="380BDAE5" w14:textId="77777777" w:rsidR="00B90B5B" w:rsidRPr="00987BEF" w:rsidRDefault="00B90B5B" w:rsidP="00701A04">
            <w:pPr>
              <w:jc w:val="center"/>
              <w:rPr>
                <w:rFonts w:ascii="ＭＳ 明朝" w:hAnsi="ＭＳ 明朝"/>
                <w:szCs w:val="21"/>
              </w:rPr>
            </w:pPr>
            <w:r w:rsidRPr="00987BEF">
              <w:rPr>
                <w:rFonts w:ascii="ＭＳ 明朝" w:hAnsi="ＭＳ 明朝" w:hint="eastAsia"/>
                <w:szCs w:val="21"/>
              </w:rPr>
              <w:t>事業箇所</w:t>
            </w:r>
          </w:p>
        </w:tc>
        <w:tc>
          <w:tcPr>
            <w:tcW w:w="8729" w:type="dxa"/>
            <w:gridSpan w:val="2"/>
          </w:tcPr>
          <w:p w14:paraId="39D946DA" w14:textId="50455865" w:rsidR="00B90B5B" w:rsidRPr="00987BEF" w:rsidRDefault="00E421A4" w:rsidP="00A90C04">
            <w:pPr>
              <w:rPr>
                <w:rFonts w:ascii="ＭＳ 明朝" w:hAnsi="ＭＳ 明朝"/>
                <w:szCs w:val="21"/>
              </w:rPr>
            </w:pPr>
            <w:r w:rsidRPr="00987BEF">
              <w:rPr>
                <w:rFonts w:ascii="ＭＳ 明朝" w:hAnsi="ＭＳ 明朝" w:hint="eastAsia"/>
                <w:szCs w:val="21"/>
              </w:rPr>
              <w:t>泉大津市　夕凪町地先</w:t>
            </w:r>
          </w:p>
        </w:tc>
      </w:tr>
      <w:tr w:rsidR="00987BEF" w:rsidRPr="00987BEF" w14:paraId="52CD704F" w14:textId="77777777" w:rsidTr="00257B98">
        <w:trPr>
          <w:cantSplit/>
          <w:trHeight w:val="791"/>
        </w:trPr>
        <w:tc>
          <w:tcPr>
            <w:tcW w:w="2030" w:type="dxa"/>
            <w:shd w:val="clear" w:color="auto" w:fill="E6E6E6"/>
            <w:vAlign w:val="center"/>
          </w:tcPr>
          <w:p w14:paraId="4ABB1085" w14:textId="77777777" w:rsidR="00B90B5B" w:rsidRPr="00987BEF" w:rsidRDefault="00E07006" w:rsidP="007745E1">
            <w:pPr>
              <w:jc w:val="center"/>
              <w:rPr>
                <w:rFonts w:ascii="ＭＳ 明朝" w:hAnsi="ＭＳ 明朝"/>
                <w:szCs w:val="21"/>
              </w:rPr>
            </w:pPr>
            <w:r w:rsidRPr="00987BEF">
              <w:rPr>
                <w:rFonts w:ascii="ＭＳ 明朝" w:hAnsi="ＭＳ 明朝" w:hint="eastAsia"/>
                <w:szCs w:val="21"/>
              </w:rPr>
              <w:t>事業</w:t>
            </w:r>
            <w:r w:rsidR="00B90B5B" w:rsidRPr="00987BEF">
              <w:rPr>
                <w:rFonts w:ascii="ＭＳ 明朝" w:hAnsi="ＭＳ 明朝" w:hint="eastAsia"/>
                <w:szCs w:val="21"/>
              </w:rPr>
              <w:t>目的</w:t>
            </w:r>
          </w:p>
        </w:tc>
        <w:tc>
          <w:tcPr>
            <w:tcW w:w="8729" w:type="dxa"/>
            <w:gridSpan w:val="2"/>
          </w:tcPr>
          <w:p w14:paraId="56F084F4" w14:textId="13AD8279" w:rsidR="009A4484" w:rsidRPr="006C27D0" w:rsidRDefault="009A4484" w:rsidP="001431AD">
            <w:pPr>
              <w:ind w:firstLineChars="100" w:firstLine="210"/>
              <w:rPr>
                <w:rFonts w:ascii="ＭＳ 明朝" w:hAnsi="ＭＳ 明朝"/>
                <w:szCs w:val="21"/>
              </w:rPr>
            </w:pPr>
            <w:r w:rsidRPr="006C27D0">
              <w:rPr>
                <w:rFonts w:ascii="ＭＳ 明朝" w:hAnsi="ＭＳ 明朝" w:hint="eastAsia"/>
                <w:szCs w:val="21"/>
              </w:rPr>
              <w:t>港湾関連用地</w:t>
            </w:r>
            <w:r w:rsidR="004F0765" w:rsidRPr="006C27D0">
              <w:rPr>
                <w:rFonts w:ascii="ＭＳ 明朝" w:hAnsi="ＭＳ 明朝" w:hint="eastAsia"/>
                <w:szCs w:val="21"/>
              </w:rPr>
              <w:t>に関する</w:t>
            </w:r>
            <w:r w:rsidRPr="006C27D0">
              <w:rPr>
                <w:rFonts w:ascii="ＭＳ 明朝" w:hAnsi="ＭＳ 明朝" w:hint="eastAsia"/>
                <w:szCs w:val="21"/>
              </w:rPr>
              <w:t>道路整備を行い、早期の土地処分を目的とする。</w:t>
            </w:r>
          </w:p>
          <w:p w14:paraId="22F7C173" w14:textId="3DFEBC2D" w:rsidR="00BB5DCD" w:rsidRPr="00987BEF" w:rsidRDefault="00BB5DCD" w:rsidP="003C5FB4">
            <w:pPr>
              <w:rPr>
                <w:rFonts w:ascii="ＭＳ 明朝" w:hAnsi="ＭＳ 明朝"/>
                <w:szCs w:val="21"/>
              </w:rPr>
            </w:pPr>
          </w:p>
          <w:p w14:paraId="7085D02E" w14:textId="77777777" w:rsidR="00257B98" w:rsidRPr="00987BEF" w:rsidRDefault="00257B98" w:rsidP="003C5FB4">
            <w:pPr>
              <w:rPr>
                <w:rFonts w:ascii="ＭＳ 明朝" w:hAnsi="ＭＳ 明朝"/>
                <w:szCs w:val="21"/>
              </w:rPr>
            </w:pPr>
          </w:p>
          <w:p w14:paraId="191B991B" w14:textId="034FAEF6" w:rsidR="00257B98" w:rsidRPr="009715C7" w:rsidRDefault="00257B98" w:rsidP="003C5FB4">
            <w:pPr>
              <w:rPr>
                <w:rFonts w:ascii="ＭＳ 明朝" w:hAnsi="ＭＳ 明朝"/>
                <w:szCs w:val="21"/>
              </w:rPr>
            </w:pPr>
          </w:p>
        </w:tc>
      </w:tr>
      <w:tr w:rsidR="00987BEF" w:rsidRPr="00987BEF" w14:paraId="7C6316B8" w14:textId="77777777" w:rsidTr="00257B98">
        <w:trPr>
          <w:cantSplit/>
          <w:trHeight w:val="1224"/>
        </w:trPr>
        <w:tc>
          <w:tcPr>
            <w:tcW w:w="2030" w:type="dxa"/>
            <w:shd w:val="clear" w:color="auto" w:fill="E6E6E6"/>
            <w:vAlign w:val="center"/>
          </w:tcPr>
          <w:p w14:paraId="2E5A55D3" w14:textId="77777777" w:rsidR="00B90B5B" w:rsidRPr="00987BEF" w:rsidRDefault="00E07006" w:rsidP="00701A04">
            <w:pPr>
              <w:jc w:val="center"/>
              <w:rPr>
                <w:rFonts w:ascii="ＭＳ 明朝" w:hAnsi="ＭＳ 明朝"/>
                <w:szCs w:val="21"/>
              </w:rPr>
            </w:pPr>
            <w:r w:rsidRPr="00987BEF">
              <w:rPr>
                <w:rFonts w:ascii="ＭＳ 明朝" w:hAnsi="ＭＳ 明朝" w:hint="eastAsia"/>
                <w:szCs w:val="21"/>
              </w:rPr>
              <w:t>事業</w:t>
            </w:r>
            <w:r w:rsidR="00B90B5B" w:rsidRPr="00987BEF">
              <w:rPr>
                <w:rFonts w:ascii="ＭＳ 明朝" w:hAnsi="ＭＳ 明朝" w:hint="eastAsia"/>
                <w:szCs w:val="21"/>
              </w:rPr>
              <w:t>内容</w:t>
            </w:r>
          </w:p>
        </w:tc>
        <w:tc>
          <w:tcPr>
            <w:tcW w:w="8729" w:type="dxa"/>
            <w:gridSpan w:val="2"/>
            <w:tcBorders>
              <w:bottom w:val="single" w:sz="4" w:space="0" w:color="auto"/>
            </w:tcBorders>
          </w:tcPr>
          <w:p w14:paraId="3D6126EA" w14:textId="67E098F0" w:rsidR="00184DCF" w:rsidRPr="006C27D0" w:rsidRDefault="00BD650C" w:rsidP="00184DCF">
            <w:pPr>
              <w:rPr>
                <w:rFonts w:ascii="ＭＳ 明朝" w:hAnsi="ＭＳ 明朝" w:cs="Apple Color Emoji"/>
                <w:szCs w:val="21"/>
              </w:rPr>
            </w:pPr>
            <w:r>
              <w:rPr>
                <w:rFonts w:ascii="ＭＳ 明朝" w:hAnsi="ＭＳ 明朝" w:hint="eastAsia"/>
              </w:rPr>
              <w:t>・</w:t>
            </w:r>
            <w:r w:rsidR="00E421A4" w:rsidRPr="006C27D0">
              <w:rPr>
                <w:rFonts w:ascii="ＭＳ 明朝" w:hAnsi="ＭＳ 明朝" w:hint="eastAsia"/>
              </w:rPr>
              <w:t>道路整備工事　延長587ｍ</w:t>
            </w:r>
          </w:p>
          <w:p w14:paraId="47877358" w14:textId="77777777" w:rsidR="009D7148" w:rsidRPr="00987BEF" w:rsidRDefault="00184DCF" w:rsidP="00184DCF">
            <w:pPr>
              <w:rPr>
                <w:rFonts w:ascii="ＭＳ 明朝" w:hAnsi="ＭＳ 明朝" w:cs="Apple Color Emoji"/>
                <w:szCs w:val="21"/>
              </w:rPr>
            </w:pPr>
            <w:r w:rsidRPr="00987BEF">
              <w:rPr>
                <w:rFonts w:ascii="ＭＳ 明朝" w:hAnsi="ＭＳ 明朝" w:cs="Apple Color Emoji" w:hint="eastAsia"/>
                <w:szCs w:val="21"/>
              </w:rPr>
              <w:t xml:space="preserve">　　　　　　</w:t>
            </w:r>
          </w:p>
          <w:p w14:paraId="34CBB5D5" w14:textId="77777777" w:rsidR="00257B98" w:rsidRPr="00987BEF" w:rsidRDefault="00257B98" w:rsidP="00184DCF">
            <w:pPr>
              <w:rPr>
                <w:rFonts w:ascii="ＭＳ 明朝" w:hAnsi="ＭＳ 明朝" w:cs="Apple Color Emoji"/>
                <w:szCs w:val="21"/>
              </w:rPr>
            </w:pPr>
          </w:p>
          <w:p w14:paraId="00313FA4" w14:textId="589059A3" w:rsidR="00257B98" w:rsidRPr="00987BEF" w:rsidRDefault="00257B98" w:rsidP="00184DCF">
            <w:pPr>
              <w:rPr>
                <w:rFonts w:ascii="ＭＳ 明朝" w:hAnsi="ＭＳ 明朝" w:cs="Apple Color Emoji"/>
                <w:szCs w:val="21"/>
              </w:rPr>
            </w:pPr>
          </w:p>
        </w:tc>
      </w:tr>
      <w:tr w:rsidR="00987BEF" w:rsidRPr="00987BEF" w14:paraId="3AC0ABE2" w14:textId="77777777" w:rsidTr="00257B98">
        <w:trPr>
          <w:cantSplit/>
          <w:trHeight w:val="577"/>
        </w:trPr>
        <w:tc>
          <w:tcPr>
            <w:tcW w:w="2030" w:type="dxa"/>
            <w:vMerge w:val="restart"/>
            <w:shd w:val="clear" w:color="auto" w:fill="E6E6E6"/>
            <w:vAlign w:val="center"/>
          </w:tcPr>
          <w:p w14:paraId="006B8E21" w14:textId="77777777" w:rsidR="00B90B5B" w:rsidRPr="00987BEF" w:rsidRDefault="00B90B5B" w:rsidP="00793E28">
            <w:pPr>
              <w:jc w:val="center"/>
              <w:rPr>
                <w:rFonts w:ascii="ＭＳ 明朝" w:hAnsi="ＭＳ 明朝"/>
                <w:kern w:val="0"/>
                <w:szCs w:val="21"/>
              </w:rPr>
            </w:pPr>
            <w:r w:rsidRPr="00987BEF">
              <w:rPr>
                <w:rFonts w:ascii="ＭＳ 明朝" w:hAnsi="ＭＳ 明朝" w:hint="eastAsia"/>
                <w:kern w:val="0"/>
                <w:szCs w:val="21"/>
              </w:rPr>
              <w:t>事業費</w:t>
            </w:r>
          </w:p>
        </w:tc>
        <w:tc>
          <w:tcPr>
            <w:tcW w:w="8729" w:type="dxa"/>
            <w:gridSpan w:val="2"/>
            <w:tcBorders>
              <w:bottom w:val="dotted" w:sz="4" w:space="0" w:color="auto"/>
            </w:tcBorders>
          </w:tcPr>
          <w:p w14:paraId="7F74B13F" w14:textId="444EC3E9" w:rsidR="003B4CAC" w:rsidRPr="00987BEF" w:rsidRDefault="00BD650C" w:rsidP="00A90C04">
            <w:pPr>
              <w:rPr>
                <w:rFonts w:ascii="ＭＳ 明朝" w:hAnsi="ＭＳ 明朝"/>
                <w:szCs w:val="21"/>
              </w:rPr>
            </w:pPr>
            <w:r>
              <w:rPr>
                <w:rFonts w:ascii="ＭＳ 明朝" w:hAnsi="ＭＳ 明朝" w:hint="eastAsia"/>
                <w:szCs w:val="21"/>
              </w:rPr>
              <w:t>・</w:t>
            </w:r>
            <w:r w:rsidR="003B4CAC" w:rsidRPr="00987BEF">
              <w:rPr>
                <w:rFonts w:ascii="ＭＳ 明朝" w:hAnsi="ＭＳ 明朝" w:hint="eastAsia"/>
                <w:szCs w:val="21"/>
              </w:rPr>
              <w:t>全体事業費：</w:t>
            </w:r>
            <w:r w:rsidR="00E421A4" w:rsidRPr="00987BEF">
              <w:rPr>
                <w:rFonts w:ascii="ＭＳ 明朝" w:hAnsi="ＭＳ 明朝" w:hint="eastAsia"/>
                <w:szCs w:val="21"/>
              </w:rPr>
              <w:t>約3.</w:t>
            </w:r>
            <w:r w:rsidR="005248F9">
              <w:rPr>
                <w:rFonts w:ascii="ＭＳ 明朝" w:hAnsi="ＭＳ 明朝" w:hint="eastAsia"/>
                <w:szCs w:val="21"/>
              </w:rPr>
              <w:t>7</w:t>
            </w:r>
            <w:r w:rsidR="00E421A4" w:rsidRPr="00987BEF">
              <w:rPr>
                <w:rFonts w:ascii="ＭＳ 明朝" w:hAnsi="ＭＳ 明朝" w:hint="eastAsia"/>
                <w:szCs w:val="21"/>
              </w:rPr>
              <w:t>億</w:t>
            </w:r>
            <w:r w:rsidR="003B4CAC" w:rsidRPr="00987BEF">
              <w:rPr>
                <w:rFonts w:ascii="ＭＳ 明朝" w:hAnsi="ＭＳ 明朝" w:hint="eastAsia"/>
                <w:szCs w:val="21"/>
              </w:rPr>
              <w:t>円</w:t>
            </w:r>
            <w:r w:rsidR="004F1654" w:rsidRPr="00987BEF">
              <w:rPr>
                <w:rFonts w:ascii="ＭＳ 明朝" w:hAnsi="ＭＳ 明朝"/>
                <w:szCs w:val="21"/>
              </w:rPr>
              <w:t xml:space="preserve"> </w:t>
            </w:r>
          </w:p>
        </w:tc>
      </w:tr>
      <w:tr w:rsidR="00987BEF" w:rsidRPr="00987BEF" w14:paraId="40769804" w14:textId="77777777" w:rsidTr="00257B98">
        <w:trPr>
          <w:cantSplit/>
          <w:trHeight w:val="1776"/>
        </w:trPr>
        <w:tc>
          <w:tcPr>
            <w:tcW w:w="2030" w:type="dxa"/>
            <w:vMerge/>
            <w:shd w:val="clear" w:color="auto" w:fill="E6E6E6"/>
            <w:vAlign w:val="center"/>
          </w:tcPr>
          <w:p w14:paraId="0C8EC975" w14:textId="77777777" w:rsidR="00B22C46" w:rsidRPr="00987BEF" w:rsidRDefault="00B22C46" w:rsidP="00701A04">
            <w:pPr>
              <w:jc w:val="center"/>
              <w:rPr>
                <w:rFonts w:ascii="ＭＳ 明朝" w:hAnsi="ＭＳ 明朝"/>
                <w:kern w:val="0"/>
                <w:szCs w:val="21"/>
              </w:rPr>
            </w:pPr>
          </w:p>
        </w:tc>
        <w:tc>
          <w:tcPr>
            <w:tcW w:w="8729" w:type="dxa"/>
            <w:gridSpan w:val="2"/>
            <w:tcBorders>
              <w:top w:val="dotted" w:sz="4" w:space="0" w:color="auto"/>
              <w:bottom w:val="single" w:sz="4" w:space="0" w:color="auto"/>
            </w:tcBorders>
          </w:tcPr>
          <w:p w14:paraId="689450D4" w14:textId="77777777" w:rsidR="00B22C46" w:rsidRPr="00987BEF" w:rsidRDefault="00B22C46" w:rsidP="00B22C46">
            <w:pPr>
              <w:jc w:val="left"/>
              <w:rPr>
                <w:rFonts w:ascii="ＭＳ 明朝" w:hAnsi="ＭＳ 明朝"/>
                <w:szCs w:val="21"/>
              </w:rPr>
            </w:pPr>
            <w:r w:rsidRPr="00987BEF">
              <w:rPr>
                <w:rFonts w:ascii="ＭＳ 明朝" w:hAnsi="ＭＳ 明朝" w:hint="eastAsia"/>
                <w:szCs w:val="21"/>
              </w:rPr>
              <w:t>【工事費の内訳】</w:t>
            </w:r>
          </w:p>
          <w:p w14:paraId="1CEDCD6E" w14:textId="77777777" w:rsidR="00B22C46" w:rsidRPr="00987BEF" w:rsidRDefault="00B22C46" w:rsidP="00B22C46">
            <w:pPr>
              <w:jc w:val="left"/>
              <w:rPr>
                <w:rFonts w:ascii="ＭＳ 明朝" w:hAnsi="ＭＳ 明朝"/>
                <w:szCs w:val="21"/>
              </w:rPr>
            </w:pPr>
            <w:r w:rsidRPr="00987BEF">
              <w:rPr>
                <w:rFonts w:ascii="ＭＳ 明朝" w:hAnsi="ＭＳ 明朝" w:hint="eastAsia"/>
                <w:szCs w:val="21"/>
              </w:rPr>
              <w:t>・道路整備工事　　 約3.4億円</w:t>
            </w:r>
            <w:r w:rsidRPr="00987BEF">
              <w:rPr>
                <w:rFonts w:ascii="ＭＳ 明朝" w:hAnsi="ＭＳ 明朝"/>
                <w:szCs w:val="21"/>
              </w:rPr>
              <w:t xml:space="preserve"> </w:t>
            </w:r>
          </w:p>
          <w:p w14:paraId="69EEA477" w14:textId="2B1B5C40" w:rsidR="00B22C46" w:rsidRPr="006B6973" w:rsidRDefault="00B22C46" w:rsidP="00B22C46">
            <w:pPr>
              <w:jc w:val="left"/>
              <w:rPr>
                <w:rFonts w:ascii="ＭＳ 明朝" w:hAnsi="ＭＳ 明朝"/>
                <w:szCs w:val="21"/>
              </w:rPr>
            </w:pPr>
            <w:r w:rsidRPr="006B6973">
              <w:rPr>
                <w:rFonts w:ascii="ＭＳ 明朝" w:hAnsi="ＭＳ 明朝" w:hint="eastAsia"/>
                <w:szCs w:val="21"/>
              </w:rPr>
              <w:t>・調査費等　　　　 約0.</w:t>
            </w:r>
            <w:r w:rsidR="005248F9" w:rsidRPr="006B6973">
              <w:rPr>
                <w:rFonts w:ascii="ＭＳ 明朝" w:hAnsi="ＭＳ 明朝" w:hint="eastAsia"/>
                <w:szCs w:val="21"/>
              </w:rPr>
              <w:t>3</w:t>
            </w:r>
            <w:r w:rsidRPr="006B6973">
              <w:rPr>
                <w:rFonts w:ascii="ＭＳ 明朝" w:hAnsi="ＭＳ 明朝" w:hint="eastAsia"/>
                <w:szCs w:val="21"/>
              </w:rPr>
              <w:t xml:space="preserve">億円　　　</w:t>
            </w:r>
          </w:p>
          <w:p w14:paraId="2107B9FB" w14:textId="64360A60" w:rsidR="00B22C46" w:rsidRPr="00987BEF" w:rsidRDefault="00B22C46" w:rsidP="003B4CAC">
            <w:pPr>
              <w:jc w:val="left"/>
              <w:rPr>
                <w:rFonts w:ascii="ＭＳ 明朝" w:hAnsi="ＭＳ 明朝"/>
                <w:szCs w:val="21"/>
              </w:rPr>
            </w:pPr>
          </w:p>
        </w:tc>
      </w:tr>
      <w:tr w:rsidR="00987BEF" w:rsidRPr="00987BEF" w14:paraId="63816D63" w14:textId="77777777" w:rsidTr="00257B98">
        <w:trPr>
          <w:cantSplit/>
          <w:trHeight w:val="1295"/>
        </w:trPr>
        <w:tc>
          <w:tcPr>
            <w:tcW w:w="2030" w:type="dxa"/>
            <w:shd w:val="clear" w:color="auto" w:fill="E6E6E6"/>
            <w:vAlign w:val="center"/>
          </w:tcPr>
          <w:p w14:paraId="0580039F" w14:textId="6F5BADB2" w:rsidR="003B4CAC" w:rsidRPr="00987BEF" w:rsidRDefault="003B4CAC" w:rsidP="00701A04">
            <w:pPr>
              <w:jc w:val="center"/>
              <w:rPr>
                <w:rFonts w:ascii="ＭＳ 明朝" w:hAnsi="ＭＳ 明朝"/>
                <w:kern w:val="0"/>
                <w:szCs w:val="21"/>
              </w:rPr>
            </w:pPr>
            <w:r w:rsidRPr="00987BEF">
              <w:rPr>
                <w:rFonts w:ascii="ＭＳ 明朝" w:hAnsi="ＭＳ 明朝" w:hint="eastAsia"/>
                <w:kern w:val="0"/>
              </w:rPr>
              <w:t>事業費の変動要因</w:t>
            </w:r>
          </w:p>
        </w:tc>
        <w:tc>
          <w:tcPr>
            <w:tcW w:w="8729" w:type="dxa"/>
            <w:gridSpan w:val="2"/>
            <w:tcBorders>
              <w:top w:val="single" w:sz="4" w:space="0" w:color="auto"/>
              <w:bottom w:val="single" w:sz="4" w:space="0" w:color="auto"/>
            </w:tcBorders>
          </w:tcPr>
          <w:p w14:paraId="2F9DF6CE" w14:textId="15DF3A81" w:rsidR="003B4CAC" w:rsidRPr="00987BEF" w:rsidRDefault="003B4CAC" w:rsidP="003B4CAC">
            <w:pPr>
              <w:jc w:val="left"/>
              <w:rPr>
                <w:rFonts w:ascii="ＭＳ 明朝" w:hAnsi="ＭＳ 明朝"/>
                <w:szCs w:val="21"/>
              </w:rPr>
            </w:pPr>
            <w:r w:rsidRPr="00987BEF">
              <w:rPr>
                <w:rFonts w:ascii="ＭＳ 明朝" w:hAnsi="ＭＳ 明朝" w:hint="eastAsia"/>
                <w:szCs w:val="21"/>
              </w:rPr>
              <w:t>【</w:t>
            </w:r>
            <w:r w:rsidR="00E421A4" w:rsidRPr="00987BEF">
              <w:rPr>
                <w:rFonts w:ascii="ＭＳ 明朝" w:hAnsi="ＭＳ 明朝" w:hint="eastAsia"/>
                <w:szCs w:val="21"/>
              </w:rPr>
              <w:t>今後の事業費変動要因の予測</w:t>
            </w:r>
            <w:r w:rsidRPr="00987BEF">
              <w:rPr>
                <w:rFonts w:ascii="ＭＳ 明朝" w:hAnsi="ＭＳ 明朝" w:hint="eastAsia"/>
                <w:szCs w:val="21"/>
              </w:rPr>
              <w:t>】</w:t>
            </w:r>
          </w:p>
          <w:p w14:paraId="73216736" w14:textId="25B62E09" w:rsidR="003B4CAC" w:rsidRPr="00987BEF" w:rsidRDefault="003B4CAC" w:rsidP="003B4CAC">
            <w:pPr>
              <w:jc w:val="left"/>
              <w:rPr>
                <w:rFonts w:ascii="ＭＳ 明朝" w:hAnsi="ＭＳ 明朝"/>
                <w:szCs w:val="21"/>
              </w:rPr>
            </w:pPr>
            <w:r w:rsidRPr="00987BEF">
              <w:rPr>
                <w:rFonts w:ascii="ＭＳ 明朝" w:hAnsi="ＭＳ 明朝" w:hint="eastAsia"/>
                <w:szCs w:val="21"/>
              </w:rPr>
              <w:t>・</w:t>
            </w:r>
            <w:r w:rsidR="00E421A4" w:rsidRPr="00987BEF">
              <w:rPr>
                <w:rFonts w:ascii="ＭＳ 明朝" w:hAnsi="ＭＳ 明朝" w:hint="eastAsia"/>
                <w:szCs w:val="21"/>
              </w:rPr>
              <w:t>埋立地であるため地盤の状況に応じて地盤改良等の対策工法が必要になる可能性がある。</w:t>
            </w:r>
          </w:p>
        </w:tc>
      </w:tr>
      <w:tr w:rsidR="00987BEF" w:rsidRPr="00987BEF" w14:paraId="6A9F8A0D" w14:textId="77777777" w:rsidTr="00257B98">
        <w:trPr>
          <w:cantSplit/>
          <w:trHeight w:val="955"/>
        </w:trPr>
        <w:tc>
          <w:tcPr>
            <w:tcW w:w="2030" w:type="dxa"/>
            <w:shd w:val="clear" w:color="auto" w:fill="E6E6E6"/>
            <w:vAlign w:val="center"/>
          </w:tcPr>
          <w:p w14:paraId="580E1CDC" w14:textId="44B4396C" w:rsidR="003B4CAC" w:rsidRPr="00987BEF" w:rsidRDefault="003B4CAC" w:rsidP="003B4CAC">
            <w:pPr>
              <w:jc w:val="center"/>
              <w:rPr>
                <w:rFonts w:ascii="ＭＳ 明朝" w:hAnsi="ＭＳ 明朝"/>
                <w:kern w:val="0"/>
                <w:szCs w:val="21"/>
              </w:rPr>
            </w:pPr>
            <w:r w:rsidRPr="00987BEF">
              <w:rPr>
                <w:rFonts w:ascii="ＭＳ 明朝" w:hAnsi="ＭＳ 明朝" w:hint="eastAsia"/>
                <w:kern w:val="0"/>
              </w:rPr>
              <w:t>関連事業</w:t>
            </w:r>
          </w:p>
        </w:tc>
        <w:tc>
          <w:tcPr>
            <w:tcW w:w="8729" w:type="dxa"/>
            <w:gridSpan w:val="2"/>
            <w:tcBorders>
              <w:top w:val="single" w:sz="4" w:space="0" w:color="auto"/>
              <w:bottom w:val="single" w:sz="4" w:space="0" w:color="auto"/>
            </w:tcBorders>
          </w:tcPr>
          <w:p w14:paraId="4635CD21" w14:textId="310354DE" w:rsidR="00E421A4" w:rsidRPr="00987BEF" w:rsidRDefault="00C565FB" w:rsidP="00E421A4">
            <w:pPr>
              <w:rPr>
                <w:rFonts w:ascii="ＭＳ 明朝" w:hAnsi="ＭＳ 明朝"/>
                <w:szCs w:val="21"/>
              </w:rPr>
            </w:pPr>
            <w:r w:rsidRPr="00987BEF">
              <w:rPr>
                <w:rFonts w:ascii="ＭＳ 明朝" w:hAnsi="ＭＳ 明朝" w:hint="eastAsia"/>
                <w:szCs w:val="21"/>
              </w:rPr>
              <w:t>・</w:t>
            </w:r>
            <w:r w:rsidR="00E421A4" w:rsidRPr="00987BEF">
              <w:rPr>
                <w:rFonts w:ascii="ＭＳ 明朝" w:hAnsi="ＭＳ 明朝" w:hint="eastAsia"/>
                <w:szCs w:val="21"/>
              </w:rPr>
              <w:t>大阪湾広域臨海環境整備センター</w:t>
            </w:r>
            <w:r w:rsidR="009A4484" w:rsidRPr="00987BEF">
              <w:rPr>
                <w:rFonts w:ascii="ＭＳ 明朝" w:hAnsi="ＭＳ 明朝" w:hint="eastAsia"/>
                <w:szCs w:val="21"/>
              </w:rPr>
              <w:t>の</w:t>
            </w:r>
            <w:r w:rsidR="00E421A4" w:rsidRPr="00987BEF">
              <w:rPr>
                <w:rFonts w:ascii="ＭＳ 明朝" w:hAnsi="ＭＳ 明朝" w:hint="eastAsia"/>
                <w:szCs w:val="21"/>
              </w:rPr>
              <w:t>廃棄物による海面埋立及び土地造成事業</w:t>
            </w:r>
          </w:p>
          <w:p w14:paraId="7534BD50" w14:textId="67DB9AEB" w:rsidR="009D7148" w:rsidRPr="00987BEF" w:rsidRDefault="00C565FB" w:rsidP="00E421A4">
            <w:pPr>
              <w:rPr>
                <w:rFonts w:ascii="ＭＳ 明朝" w:hAnsi="ＭＳ 明朝"/>
                <w:szCs w:val="21"/>
              </w:rPr>
            </w:pPr>
            <w:r w:rsidRPr="00987BEF">
              <w:rPr>
                <w:rFonts w:ascii="ＭＳ 明朝" w:hAnsi="ＭＳ 明朝" w:hint="eastAsia"/>
                <w:szCs w:val="21"/>
              </w:rPr>
              <w:t>・</w:t>
            </w:r>
            <w:r w:rsidR="00E421A4" w:rsidRPr="00987BEF">
              <w:rPr>
                <w:rFonts w:ascii="ＭＳ 明朝" w:hAnsi="ＭＳ 明朝" w:hint="eastAsia"/>
                <w:szCs w:val="21"/>
              </w:rPr>
              <w:t>泉大津市の公共下水道及び上水道整備事業</w:t>
            </w:r>
          </w:p>
          <w:p w14:paraId="3CDC4DC0" w14:textId="7879D6DC" w:rsidR="00257B98" w:rsidRPr="00987BEF" w:rsidRDefault="00257B98" w:rsidP="00E421A4">
            <w:pPr>
              <w:rPr>
                <w:rFonts w:ascii="ＭＳ 明朝" w:hAnsi="ＭＳ 明朝"/>
                <w:szCs w:val="21"/>
              </w:rPr>
            </w:pPr>
          </w:p>
        </w:tc>
      </w:tr>
      <w:tr w:rsidR="00987BEF" w:rsidRPr="00987BEF" w14:paraId="3640A093" w14:textId="77777777" w:rsidTr="00257B98">
        <w:trPr>
          <w:cantSplit/>
          <w:trHeight w:val="597"/>
        </w:trPr>
        <w:tc>
          <w:tcPr>
            <w:tcW w:w="2030" w:type="dxa"/>
            <w:shd w:val="clear" w:color="auto" w:fill="E6E6E6"/>
            <w:vAlign w:val="center"/>
          </w:tcPr>
          <w:p w14:paraId="5B1259B0" w14:textId="77777777" w:rsidR="00E55953" w:rsidRPr="00987BEF" w:rsidRDefault="00E55953" w:rsidP="00E55953">
            <w:pPr>
              <w:jc w:val="center"/>
              <w:rPr>
                <w:rFonts w:ascii="ＭＳ 明朝" w:hAnsi="ＭＳ 明朝"/>
                <w:kern w:val="0"/>
              </w:rPr>
            </w:pPr>
            <w:r w:rsidRPr="00987BEF">
              <w:rPr>
                <w:rFonts w:ascii="ＭＳ 明朝" w:hAnsi="ＭＳ 明朝" w:hint="eastAsia"/>
                <w:kern w:val="0"/>
              </w:rPr>
              <w:t>上位計画等に</w:t>
            </w:r>
          </w:p>
          <w:p w14:paraId="62249B49" w14:textId="6A07A720" w:rsidR="00E55953" w:rsidRPr="00987BEF" w:rsidRDefault="00E55953" w:rsidP="00E55953">
            <w:pPr>
              <w:jc w:val="center"/>
              <w:rPr>
                <w:rFonts w:ascii="ＭＳ 明朝" w:hAnsi="ＭＳ 明朝"/>
                <w:kern w:val="0"/>
              </w:rPr>
            </w:pPr>
            <w:r w:rsidRPr="00987BEF">
              <w:rPr>
                <w:rFonts w:ascii="ＭＳ 明朝" w:hAnsi="ＭＳ 明朝" w:hint="eastAsia"/>
                <w:kern w:val="0"/>
              </w:rPr>
              <w:t>おける位置付け</w:t>
            </w:r>
          </w:p>
        </w:tc>
        <w:tc>
          <w:tcPr>
            <w:tcW w:w="8729" w:type="dxa"/>
            <w:gridSpan w:val="2"/>
            <w:tcBorders>
              <w:top w:val="single" w:sz="4" w:space="0" w:color="auto"/>
              <w:bottom w:val="single" w:sz="4" w:space="0" w:color="auto"/>
            </w:tcBorders>
          </w:tcPr>
          <w:p w14:paraId="42A36FEF" w14:textId="1D37711B" w:rsidR="00E55953" w:rsidRPr="00987BEF" w:rsidRDefault="00E55953" w:rsidP="00E55953">
            <w:pPr>
              <w:rPr>
                <w:rFonts w:ascii="ＭＳ 明朝" w:hAnsi="ＭＳ 明朝"/>
              </w:rPr>
            </w:pPr>
            <w:r w:rsidRPr="00987BEF">
              <w:rPr>
                <w:rFonts w:ascii="ＭＳ 明朝" w:hAnsi="ＭＳ 明朝" w:hint="eastAsia"/>
              </w:rPr>
              <w:t>・</w:t>
            </w:r>
            <w:r w:rsidR="00C565FB" w:rsidRPr="00987BEF">
              <w:rPr>
                <w:rFonts w:ascii="ＭＳ 明朝" w:hAnsi="ＭＳ 明朝" w:hint="eastAsia"/>
              </w:rPr>
              <w:t>堺泉北港港湾計画</w:t>
            </w:r>
            <w:r w:rsidR="00973F29" w:rsidRPr="00987BEF">
              <w:rPr>
                <w:rFonts w:ascii="ＭＳ 明朝" w:hAnsi="ＭＳ 明朝" w:hint="eastAsia"/>
              </w:rPr>
              <w:t>（</w:t>
            </w:r>
            <w:r w:rsidR="00252F11" w:rsidRPr="00987BEF">
              <w:rPr>
                <w:rFonts w:ascii="ＭＳ 明朝" w:hAnsi="ＭＳ 明朝" w:hint="eastAsia"/>
              </w:rPr>
              <w:t>H31.3改訂</w:t>
            </w:r>
            <w:r w:rsidR="00973F29" w:rsidRPr="00987BEF">
              <w:rPr>
                <w:rFonts w:ascii="ＭＳ 明朝" w:hAnsi="ＭＳ 明朝" w:hint="eastAsia"/>
              </w:rPr>
              <w:t>）</w:t>
            </w:r>
          </w:p>
          <w:p w14:paraId="112F6EDD" w14:textId="2FDE019D" w:rsidR="00E55953" w:rsidRPr="00987BEF" w:rsidRDefault="00C565FB" w:rsidP="00E55953">
            <w:pPr>
              <w:rPr>
                <w:rFonts w:ascii="ＭＳ 明朝" w:hAnsi="ＭＳ 明朝"/>
              </w:rPr>
            </w:pPr>
            <w:r w:rsidRPr="00987BEF">
              <w:rPr>
                <w:rFonts w:ascii="ＭＳ 明朝" w:hAnsi="ＭＳ 明朝" w:hint="eastAsia"/>
              </w:rPr>
              <w:t>・第４次泉大津市総合計画（H27.3泉大津市策定）</w:t>
            </w:r>
          </w:p>
          <w:p w14:paraId="45D2F6E8" w14:textId="060B6A46" w:rsidR="005F6DF9" w:rsidRPr="00987BEF" w:rsidRDefault="005F6DF9" w:rsidP="00E55953">
            <w:pPr>
              <w:rPr>
                <w:rFonts w:ascii="ＭＳ 明朝" w:hAnsi="ＭＳ 明朝"/>
                <w:szCs w:val="21"/>
              </w:rPr>
            </w:pPr>
          </w:p>
          <w:p w14:paraId="7EF8B440" w14:textId="0DAF511B" w:rsidR="00257B98" w:rsidRPr="00987BEF" w:rsidRDefault="00257B98" w:rsidP="00E55953">
            <w:pPr>
              <w:rPr>
                <w:rFonts w:ascii="ＭＳ 明朝" w:hAnsi="ＭＳ 明朝"/>
                <w:szCs w:val="21"/>
              </w:rPr>
            </w:pPr>
          </w:p>
          <w:p w14:paraId="18870AEE" w14:textId="2194D845" w:rsidR="00257B98" w:rsidRPr="00987BEF" w:rsidRDefault="00257B98" w:rsidP="00E55953">
            <w:pPr>
              <w:rPr>
                <w:rFonts w:ascii="ＭＳ 明朝" w:hAnsi="ＭＳ 明朝"/>
                <w:szCs w:val="21"/>
              </w:rPr>
            </w:pPr>
          </w:p>
          <w:p w14:paraId="3166225A" w14:textId="2B96EDC2" w:rsidR="00257B98" w:rsidRPr="00987BEF" w:rsidRDefault="00257B98" w:rsidP="00E55953">
            <w:pPr>
              <w:rPr>
                <w:rFonts w:ascii="ＭＳ 明朝" w:hAnsi="ＭＳ 明朝"/>
                <w:szCs w:val="21"/>
              </w:rPr>
            </w:pPr>
          </w:p>
        </w:tc>
      </w:tr>
      <w:tr w:rsidR="00987BEF" w:rsidRPr="00987BEF" w14:paraId="47CB9F64" w14:textId="77777777" w:rsidTr="00257B98">
        <w:trPr>
          <w:cantSplit/>
          <w:trHeight w:val="597"/>
        </w:trPr>
        <w:tc>
          <w:tcPr>
            <w:tcW w:w="2030" w:type="dxa"/>
            <w:shd w:val="clear" w:color="auto" w:fill="E6E6E6"/>
            <w:vAlign w:val="center"/>
          </w:tcPr>
          <w:p w14:paraId="38FA3340" w14:textId="7DB16DDD" w:rsidR="00257B98" w:rsidRPr="00987BEF" w:rsidRDefault="00257B98" w:rsidP="00E55953">
            <w:pPr>
              <w:jc w:val="center"/>
              <w:rPr>
                <w:rFonts w:ascii="ＭＳ 明朝" w:hAnsi="ＭＳ 明朝"/>
                <w:kern w:val="0"/>
              </w:rPr>
            </w:pPr>
            <w:r w:rsidRPr="00987BEF">
              <w:rPr>
                <w:rFonts w:ascii="ＭＳ 明朝" w:hAnsi="ＭＳ 明朝" w:hint="eastAsia"/>
                <w:kern w:val="0"/>
              </w:rPr>
              <w:t>優先度</w:t>
            </w:r>
          </w:p>
        </w:tc>
        <w:tc>
          <w:tcPr>
            <w:tcW w:w="8729" w:type="dxa"/>
            <w:gridSpan w:val="2"/>
            <w:tcBorders>
              <w:top w:val="single" w:sz="4" w:space="0" w:color="auto"/>
              <w:bottom w:val="single" w:sz="4" w:space="0" w:color="auto"/>
            </w:tcBorders>
          </w:tcPr>
          <w:p w14:paraId="58A2E782" w14:textId="0E0D0594" w:rsidR="00257B98" w:rsidRPr="00987BEF" w:rsidRDefault="00257B98" w:rsidP="00257B98">
            <w:pPr>
              <w:rPr>
                <w:rFonts w:ascii="ＭＳ 明朝" w:hAnsi="ＭＳ 明朝"/>
              </w:rPr>
            </w:pPr>
            <w:r w:rsidRPr="00987BEF">
              <w:rPr>
                <w:rFonts w:ascii="ＭＳ 明朝" w:hAnsi="ＭＳ 明朝" w:hint="eastAsia"/>
              </w:rPr>
              <w:t xml:space="preserve">　泉大津市から早期の土地利用が求められており、かつ夕凪</w:t>
            </w:r>
            <w:r w:rsidR="006B6973" w:rsidRPr="006C3F4D">
              <w:rPr>
                <w:rFonts w:ascii="ＭＳ 明朝" w:hAnsi="ＭＳ 明朝" w:hint="eastAsia"/>
              </w:rPr>
              <w:t>第</w:t>
            </w:r>
            <w:r w:rsidRPr="006C3F4D">
              <w:rPr>
                <w:rFonts w:ascii="ＭＳ 明朝" w:hAnsi="ＭＳ 明朝" w:hint="eastAsia"/>
              </w:rPr>
              <w:t>２号岸壁が令和７年度末に</w:t>
            </w:r>
            <w:r w:rsidR="005F291C" w:rsidRPr="006C3F4D">
              <w:rPr>
                <w:rFonts w:ascii="ＭＳ 明朝" w:hAnsi="ＭＳ 明朝" w:hint="eastAsia"/>
              </w:rPr>
              <w:t>供用</w:t>
            </w:r>
            <w:r w:rsidR="001431AD" w:rsidRPr="006C3F4D">
              <w:rPr>
                <w:rFonts w:ascii="ＭＳ 明朝" w:hAnsi="ＭＳ 明朝" w:hint="eastAsia"/>
              </w:rPr>
              <w:t>予定である</w:t>
            </w:r>
            <w:r w:rsidRPr="006C3F4D">
              <w:rPr>
                <w:rFonts w:ascii="ＭＳ 明朝" w:hAnsi="ＭＳ 明朝" w:hint="eastAsia"/>
              </w:rPr>
              <w:t>ことから、土地利用を行うために道路整備を早</w:t>
            </w:r>
            <w:r w:rsidRPr="00987BEF">
              <w:rPr>
                <w:rFonts w:ascii="ＭＳ 明朝" w:hAnsi="ＭＳ 明朝" w:hint="eastAsia"/>
              </w:rPr>
              <w:t>急に行う必要がある。</w:t>
            </w:r>
          </w:p>
          <w:p w14:paraId="2AD92E80" w14:textId="0FBB0F86" w:rsidR="00257B98" w:rsidRPr="00987BEF" w:rsidRDefault="00257B98" w:rsidP="00E55953">
            <w:pPr>
              <w:rPr>
                <w:rFonts w:ascii="ＭＳ 明朝" w:hAnsi="ＭＳ 明朝"/>
              </w:rPr>
            </w:pPr>
          </w:p>
          <w:p w14:paraId="164F50F6" w14:textId="7BE1B991" w:rsidR="00257B98" w:rsidRPr="00987BEF" w:rsidRDefault="00257B98" w:rsidP="00E55953">
            <w:pPr>
              <w:rPr>
                <w:rFonts w:ascii="ＭＳ 明朝" w:hAnsi="ＭＳ 明朝"/>
              </w:rPr>
            </w:pPr>
          </w:p>
          <w:p w14:paraId="1D98E577" w14:textId="77777777" w:rsidR="00257B98" w:rsidRPr="00987BEF" w:rsidRDefault="00257B98" w:rsidP="00E55953">
            <w:pPr>
              <w:rPr>
                <w:rFonts w:ascii="ＭＳ 明朝" w:hAnsi="ＭＳ 明朝"/>
              </w:rPr>
            </w:pPr>
          </w:p>
          <w:p w14:paraId="718CF623" w14:textId="495707F5" w:rsidR="00257B98" w:rsidRPr="00987BEF" w:rsidRDefault="00257B98" w:rsidP="00E55953">
            <w:pPr>
              <w:rPr>
                <w:rFonts w:ascii="ＭＳ 明朝" w:hAnsi="ＭＳ 明朝"/>
              </w:rPr>
            </w:pPr>
          </w:p>
        </w:tc>
      </w:tr>
      <w:tr w:rsidR="00987BEF" w:rsidRPr="00987BEF" w14:paraId="6382534D" w14:textId="77777777" w:rsidTr="00257B98">
        <w:trPr>
          <w:gridAfter w:val="1"/>
          <w:wAfter w:w="14" w:type="dxa"/>
          <w:cantSplit/>
          <w:trHeight w:val="1563"/>
        </w:trPr>
        <w:tc>
          <w:tcPr>
            <w:tcW w:w="2029" w:type="dxa"/>
            <w:tcBorders>
              <w:top w:val="single" w:sz="4" w:space="0" w:color="auto"/>
              <w:bottom w:val="single" w:sz="4" w:space="0" w:color="auto"/>
            </w:tcBorders>
            <w:shd w:val="clear" w:color="auto" w:fill="E6E6E6"/>
            <w:vAlign w:val="center"/>
          </w:tcPr>
          <w:p w14:paraId="40DEA782"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lastRenderedPageBreak/>
              <w:t>事業を巡る社会</w:t>
            </w:r>
          </w:p>
          <w:p w14:paraId="38CCFFD7"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経済情勢等</w:t>
            </w:r>
          </w:p>
        </w:tc>
        <w:tc>
          <w:tcPr>
            <w:tcW w:w="8716" w:type="dxa"/>
            <w:tcBorders>
              <w:top w:val="single" w:sz="4" w:space="0" w:color="auto"/>
              <w:bottom w:val="single" w:sz="4" w:space="0" w:color="auto"/>
            </w:tcBorders>
          </w:tcPr>
          <w:p w14:paraId="44C75632" w14:textId="07F18681" w:rsidR="002315CD" w:rsidRPr="00987BEF" w:rsidRDefault="002315CD" w:rsidP="002315CD">
            <w:r w:rsidRPr="00987BEF">
              <w:rPr>
                <w:rFonts w:hint="eastAsia"/>
              </w:rPr>
              <w:t>１．フェニックス事業の状況</w:t>
            </w:r>
          </w:p>
          <w:p w14:paraId="3A12867A" w14:textId="5511D163" w:rsidR="002315CD" w:rsidRPr="00987BEF" w:rsidRDefault="002315CD" w:rsidP="002315CD">
            <w:r w:rsidRPr="00987BEF">
              <w:rPr>
                <w:rFonts w:hint="eastAsia"/>
              </w:rPr>
              <w:t>（目的）</w:t>
            </w:r>
          </w:p>
          <w:p w14:paraId="279AB130" w14:textId="23848A1B" w:rsidR="002315CD" w:rsidRPr="00987BEF" w:rsidRDefault="002315CD" w:rsidP="00BD650C">
            <w:pPr>
              <w:ind w:leftChars="66" w:left="139" w:firstLineChars="67" w:firstLine="141"/>
            </w:pPr>
            <w:r w:rsidRPr="00987BEF">
              <w:rPr>
                <w:rFonts w:hint="eastAsia"/>
              </w:rPr>
              <w:t>フェニックス計画は、近畿の自治体、港湾管理者が出資する事業であり、大阪湾の埋立により近畿圏から発生する廃棄物の最終処分を行い、埋め立てた土地を活用して港湾機能の</w:t>
            </w:r>
            <w:r w:rsidR="005248F9">
              <w:rPr>
                <w:rFonts w:hint="eastAsia"/>
              </w:rPr>
              <w:t>強化</w:t>
            </w:r>
            <w:r w:rsidRPr="00987BEF">
              <w:rPr>
                <w:rFonts w:hint="eastAsia"/>
              </w:rPr>
              <w:t>等を図る</w:t>
            </w:r>
            <w:r w:rsidR="00391363" w:rsidRPr="00987BEF">
              <w:rPr>
                <w:rFonts w:hint="eastAsia"/>
              </w:rPr>
              <w:t>ものである</w:t>
            </w:r>
            <w:r w:rsidRPr="00987BEF">
              <w:rPr>
                <w:rFonts w:hint="eastAsia"/>
              </w:rPr>
              <w:t>。</w:t>
            </w:r>
          </w:p>
          <w:p w14:paraId="74BE9E9E" w14:textId="4FD808BC" w:rsidR="002315CD" w:rsidRPr="00987BEF" w:rsidRDefault="002315CD" w:rsidP="002315CD"/>
          <w:p w14:paraId="2DD3FF85" w14:textId="1F268429" w:rsidR="002315CD" w:rsidRPr="00987BEF" w:rsidRDefault="002315CD" w:rsidP="002315CD">
            <w:r w:rsidRPr="00987BEF">
              <w:rPr>
                <w:rFonts w:hint="eastAsia"/>
              </w:rPr>
              <w:t>（事業スキーム）</w:t>
            </w:r>
          </w:p>
          <w:p w14:paraId="23A8E39A" w14:textId="76AA2113" w:rsidR="002315CD" w:rsidRPr="00987BEF" w:rsidRDefault="002315CD" w:rsidP="002315CD">
            <w:r w:rsidRPr="00987BEF">
              <w:rPr>
                <w:rFonts w:hint="eastAsia"/>
              </w:rPr>
              <w:t xml:space="preserve">　</w:t>
            </w:r>
            <w:r w:rsidRPr="00987BEF">
              <w:rPr>
                <w:rFonts w:hint="eastAsia"/>
                <w:u w:val="single"/>
              </w:rPr>
              <w:t>護岸整備</w:t>
            </w:r>
            <w:r w:rsidRPr="00987BEF">
              <w:rPr>
                <w:rFonts w:hint="eastAsia"/>
                <w:u w:val="single"/>
              </w:rPr>
              <w:t xml:space="preserve"> </w:t>
            </w:r>
            <w:r w:rsidRPr="00987BEF">
              <w:rPr>
                <w:rFonts w:hint="eastAsia"/>
                <w:u w:val="single"/>
              </w:rPr>
              <w:t>⇒</w:t>
            </w:r>
            <w:r w:rsidRPr="00987BEF">
              <w:rPr>
                <w:rFonts w:hint="eastAsia"/>
                <w:u w:val="single"/>
              </w:rPr>
              <w:t xml:space="preserve"> </w:t>
            </w:r>
            <w:r w:rsidRPr="00987BEF">
              <w:rPr>
                <w:rFonts w:hint="eastAsia"/>
                <w:u w:val="single"/>
              </w:rPr>
              <w:t>廃棄物による海面埋立て・土地造成</w:t>
            </w:r>
            <w:r w:rsidRPr="00987BEF">
              <w:rPr>
                <w:rFonts w:hint="eastAsia"/>
              </w:rPr>
              <w:t xml:space="preserve"> </w:t>
            </w:r>
            <w:r w:rsidRPr="00987BEF">
              <w:rPr>
                <w:rFonts w:hint="eastAsia"/>
              </w:rPr>
              <w:t>⇒</w:t>
            </w:r>
            <w:r w:rsidRPr="00987BEF">
              <w:rPr>
                <w:rFonts w:hint="eastAsia"/>
              </w:rPr>
              <w:t xml:space="preserve"> </w:t>
            </w:r>
            <w:r w:rsidRPr="00987BEF">
              <w:rPr>
                <w:rFonts w:hint="eastAsia"/>
                <w:u w:val="single"/>
              </w:rPr>
              <w:t>インフラ整備</w:t>
            </w:r>
            <w:r w:rsidRPr="00987BEF">
              <w:rPr>
                <w:rFonts w:hint="eastAsia"/>
                <w:u w:val="single"/>
              </w:rPr>
              <w:t xml:space="preserve"> </w:t>
            </w:r>
            <w:r w:rsidRPr="00987BEF">
              <w:rPr>
                <w:rFonts w:hint="eastAsia"/>
                <w:u w:val="single"/>
              </w:rPr>
              <w:t>⇒</w:t>
            </w:r>
            <w:r w:rsidRPr="00987BEF">
              <w:rPr>
                <w:rFonts w:hint="eastAsia"/>
                <w:u w:val="single"/>
              </w:rPr>
              <w:t xml:space="preserve"> </w:t>
            </w:r>
            <w:r w:rsidRPr="00987BEF">
              <w:rPr>
                <w:rFonts w:hint="eastAsia"/>
                <w:u w:val="single"/>
              </w:rPr>
              <w:t>分譲・賃貸</w:t>
            </w:r>
          </w:p>
          <w:p w14:paraId="62A01D04" w14:textId="118D1DB1" w:rsidR="00AD3710" w:rsidRPr="00987BEF" w:rsidRDefault="00AD3710" w:rsidP="002315CD">
            <w:r w:rsidRPr="00987BEF">
              <w:rPr>
                <w:rFonts w:hint="eastAsia"/>
              </w:rPr>
              <w:t xml:space="preserve"> </w:t>
            </w:r>
            <w:r w:rsidRPr="00987BEF">
              <w:t xml:space="preserve"> </w:t>
            </w:r>
            <w:r w:rsidRPr="00987BEF">
              <w:rPr>
                <w:rFonts w:hint="eastAsia"/>
              </w:rPr>
              <w:t xml:space="preserve">　（大阪湾広域臨海環境整備センターが実施）　　　　　　（大阪府が実施）</w:t>
            </w:r>
          </w:p>
          <w:p w14:paraId="6DB8C7CB" w14:textId="5459DFC8" w:rsidR="00AD3710" w:rsidRPr="00987BEF" w:rsidRDefault="00AD3710" w:rsidP="002315CD"/>
          <w:p w14:paraId="75991CDE" w14:textId="33BDAFC0" w:rsidR="00AD3710" w:rsidRPr="00987BEF" w:rsidRDefault="00AD3710" w:rsidP="002315CD">
            <w:r w:rsidRPr="00987BEF">
              <w:rPr>
                <w:rFonts w:hint="eastAsia"/>
              </w:rPr>
              <w:t>（泉大津フェニックス事業の進捗状況）</w:t>
            </w:r>
          </w:p>
          <w:p w14:paraId="0F0C1B11" w14:textId="6DDBA42B" w:rsidR="00AD3710" w:rsidRPr="006C3F4D" w:rsidRDefault="00AD3710" w:rsidP="002315CD">
            <w:pPr>
              <w:rPr>
                <w:rFonts w:ascii="ＭＳ 明朝" w:hAnsi="ＭＳ 明朝"/>
              </w:rPr>
            </w:pPr>
            <w:r w:rsidRPr="00987BEF">
              <w:rPr>
                <w:rFonts w:hint="eastAsia"/>
              </w:rPr>
              <w:t xml:space="preserve">　平成４年より廃</w:t>
            </w:r>
            <w:r w:rsidRPr="006C3F4D">
              <w:rPr>
                <w:rFonts w:hint="eastAsia"/>
              </w:rPr>
              <w:t>棄物</w:t>
            </w:r>
            <w:r w:rsidR="005F291C" w:rsidRPr="006C3F4D">
              <w:rPr>
                <w:rFonts w:hint="eastAsia"/>
              </w:rPr>
              <w:t>及び土砂</w:t>
            </w:r>
            <w:r w:rsidRPr="006C3F4D">
              <w:rPr>
                <w:rFonts w:hint="eastAsia"/>
              </w:rPr>
              <w:t>の受入を開始し、</w:t>
            </w:r>
            <w:r w:rsidR="00A57839" w:rsidRPr="006C3F4D">
              <w:rPr>
                <w:rFonts w:hint="eastAsia"/>
              </w:rPr>
              <w:t>令和５</w:t>
            </w:r>
            <w:r w:rsidRPr="006C3F4D">
              <w:rPr>
                <w:rFonts w:hint="eastAsia"/>
              </w:rPr>
              <w:t>年度末での</w:t>
            </w:r>
            <w:r w:rsidR="005F291C" w:rsidRPr="006C3F4D">
              <w:rPr>
                <w:rFonts w:hint="eastAsia"/>
              </w:rPr>
              <w:t>埋立工事</w:t>
            </w:r>
            <w:r w:rsidR="000347F5" w:rsidRPr="006C3F4D">
              <w:rPr>
                <w:rFonts w:hint="eastAsia"/>
              </w:rPr>
              <w:t>の</w:t>
            </w:r>
            <w:r w:rsidR="005F291C" w:rsidRPr="006C3F4D">
              <w:rPr>
                <w:rFonts w:hint="eastAsia"/>
              </w:rPr>
              <w:t>進捗</w:t>
            </w:r>
            <w:r w:rsidRPr="006C3F4D">
              <w:rPr>
                <w:rFonts w:hint="eastAsia"/>
              </w:rPr>
              <w:t>は</w:t>
            </w:r>
            <w:r w:rsidRPr="006C3F4D">
              <w:rPr>
                <w:rFonts w:ascii="ＭＳ 明朝" w:hAnsi="ＭＳ 明朝" w:hint="eastAsia"/>
              </w:rPr>
              <w:t>約</w:t>
            </w:r>
            <w:r w:rsidR="00BD227F" w:rsidRPr="006C3F4D">
              <w:rPr>
                <w:rFonts w:ascii="ＭＳ 明朝" w:hAnsi="ＭＳ 明朝" w:hint="eastAsia"/>
              </w:rPr>
              <w:t>98.4</w:t>
            </w:r>
            <w:r w:rsidRPr="006C3F4D">
              <w:rPr>
                <w:rFonts w:ascii="ＭＳ 明朝" w:hAnsi="ＭＳ 明朝" w:hint="eastAsia"/>
              </w:rPr>
              <w:t>％</w:t>
            </w:r>
            <w:r w:rsidR="005F291C" w:rsidRPr="006C3F4D">
              <w:rPr>
                <w:rFonts w:ascii="ＭＳ 明朝" w:hAnsi="ＭＳ 明朝" w:hint="eastAsia"/>
              </w:rPr>
              <w:t>である</w:t>
            </w:r>
            <w:r w:rsidRPr="006C3F4D">
              <w:rPr>
                <w:rFonts w:ascii="ＭＳ 明朝" w:hAnsi="ＭＳ 明朝" w:hint="eastAsia"/>
              </w:rPr>
              <w:t>。</w:t>
            </w:r>
          </w:p>
          <w:p w14:paraId="1831A0F9" w14:textId="66399379" w:rsidR="00AD3710" w:rsidRPr="006C3F4D" w:rsidRDefault="00AD3710" w:rsidP="002315CD"/>
          <w:p w14:paraId="448EC873" w14:textId="7E9E275E" w:rsidR="006211E6" w:rsidRPr="006C3F4D" w:rsidRDefault="00AD3710" w:rsidP="002315CD">
            <w:r w:rsidRPr="006C3F4D">
              <w:rPr>
                <w:rFonts w:hint="eastAsia"/>
              </w:rPr>
              <w:t>２．地域の状況・課題</w:t>
            </w:r>
          </w:p>
          <w:p w14:paraId="5F9C1B48" w14:textId="72F1AED3" w:rsidR="006211E6" w:rsidRPr="006C3F4D" w:rsidRDefault="006211E6" w:rsidP="002315CD">
            <w:r w:rsidRPr="006C3F4D">
              <w:rPr>
                <w:rFonts w:hint="eastAsia"/>
              </w:rPr>
              <w:t xml:space="preserve">　泉大津市では、</w:t>
            </w:r>
            <w:r w:rsidR="005F291C" w:rsidRPr="006C3F4D">
              <w:rPr>
                <w:rFonts w:hint="eastAsia"/>
              </w:rPr>
              <w:t>堺泉北港（泉大津エリア）</w:t>
            </w:r>
            <w:r w:rsidRPr="006C3F4D">
              <w:rPr>
                <w:rFonts w:hint="eastAsia"/>
              </w:rPr>
              <w:t>のさらなる振興発展に向け、港湾の利活用促進施策を展開することとしている。</w:t>
            </w:r>
          </w:p>
          <w:p w14:paraId="5515D613" w14:textId="49DB82F1" w:rsidR="00A57839" w:rsidRPr="00987BEF" w:rsidRDefault="00A57839" w:rsidP="002315CD"/>
          <w:p w14:paraId="5C85AE05" w14:textId="1A1A21D2" w:rsidR="00A57839" w:rsidRPr="00987BEF" w:rsidRDefault="00A57839" w:rsidP="002315CD">
            <w:r w:rsidRPr="00987BEF">
              <w:rPr>
                <w:rFonts w:hint="eastAsia"/>
              </w:rPr>
              <w:t>３．ニーズの高まり</w:t>
            </w:r>
          </w:p>
          <w:p w14:paraId="6E73D620" w14:textId="42EE0BAD" w:rsidR="001431AD" w:rsidRPr="006C3F4D" w:rsidRDefault="00A42F1A" w:rsidP="00E735F6">
            <w:pPr>
              <w:ind w:leftChars="69" w:left="286" w:hanging="141"/>
            </w:pPr>
            <w:r w:rsidRPr="00987BEF">
              <w:rPr>
                <w:rFonts w:hint="eastAsia"/>
              </w:rPr>
              <w:t>・泉大津市から汐見沖地区の埋立竣功地の有効活用を図るため、都市インフラ整備を推進し、早期に土地利用が開始される</w:t>
            </w:r>
            <w:r w:rsidRPr="006C3F4D">
              <w:rPr>
                <w:rFonts w:hint="eastAsia"/>
              </w:rPr>
              <w:t>よう要望がある。</w:t>
            </w:r>
          </w:p>
          <w:p w14:paraId="0A918461" w14:textId="5C7067AA" w:rsidR="00A57839" w:rsidRPr="006C3F4D" w:rsidRDefault="00A57839" w:rsidP="005F291C">
            <w:pPr>
              <w:ind w:leftChars="69" w:left="284" w:hangingChars="66" w:hanging="139"/>
            </w:pPr>
            <w:r w:rsidRPr="006C3F4D">
              <w:rPr>
                <w:rFonts w:hint="eastAsia"/>
              </w:rPr>
              <w:t>・夕凪</w:t>
            </w:r>
            <w:r w:rsidR="006B6973" w:rsidRPr="006C3F4D">
              <w:rPr>
                <w:rFonts w:hint="eastAsia"/>
              </w:rPr>
              <w:t>第</w:t>
            </w:r>
            <w:r w:rsidRPr="006C3F4D">
              <w:rPr>
                <w:rFonts w:hint="eastAsia"/>
              </w:rPr>
              <w:t>２号岸壁が令和７年度末に</w:t>
            </w:r>
            <w:r w:rsidR="005F291C" w:rsidRPr="006C3F4D">
              <w:rPr>
                <w:rFonts w:hint="eastAsia"/>
              </w:rPr>
              <w:t>供用</w:t>
            </w:r>
            <w:r w:rsidRPr="006C3F4D">
              <w:rPr>
                <w:rFonts w:hint="eastAsia"/>
              </w:rPr>
              <w:t>予定となり、</w:t>
            </w:r>
            <w:r w:rsidR="00BD650C" w:rsidRPr="006C3F4D">
              <w:rPr>
                <w:rFonts w:hint="eastAsia"/>
              </w:rPr>
              <w:t>堺泉北港の主力貨物である</w:t>
            </w:r>
            <w:r w:rsidRPr="006C3F4D">
              <w:rPr>
                <w:rFonts w:hint="eastAsia"/>
              </w:rPr>
              <w:t>中古自動車を</w:t>
            </w:r>
            <w:r w:rsidR="00BD650C" w:rsidRPr="006C3F4D">
              <w:rPr>
                <w:rFonts w:hint="eastAsia"/>
              </w:rPr>
              <w:t>効率的に</w:t>
            </w:r>
            <w:r w:rsidRPr="006C3F4D">
              <w:rPr>
                <w:rFonts w:hint="eastAsia"/>
              </w:rPr>
              <w:t>取り扱うために</w:t>
            </w:r>
            <w:r w:rsidR="005F291C" w:rsidRPr="006C3F4D">
              <w:rPr>
                <w:rFonts w:hint="eastAsia"/>
              </w:rPr>
              <w:t>、その背後地の</w:t>
            </w:r>
            <w:r w:rsidRPr="006C3F4D">
              <w:rPr>
                <w:rFonts w:hint="eastAsia"/>
              </w:rPr>
              <w:t>港湾関連用地の土地利用</w:t>
            </w:r>
            <w:r w:rsidR="005F291C" w:rsidRPr="006C3F4D">
              <w:rPr>
                <w:rFonts w:hint="eastAsia"/>
              </w:rPr>
              <w:t>、並びに道路整備</w:t>
            </w:r>
            <w:r w:rsidRPr="006C3F4D">
              <w:rPr>
                <w:rFonts w:hint="eastAsia"/>
              </w:rPr>
              <w:t>が求められている。</w:t>
            </w:r>
          </w:p>
          <w:p w14:paraId="366F3649" w14:textId="44B196FC" w:rsidR="00B41F65" w:rsidRPr="00987BEF" w:rsidRDefault="00B41F65" w:rsidP="00A42F1A">
            <w:pPr>
              <w:ind w:leftChars="69" w:left="286" w:hanging="141"/>
              <w:rPr>
                <w:rFonts w:ascii="ＭＳ 明朝" w:hAnsi="ＭＳ 明朝"/>
                <w:szCs w:val="21"/>
              </w:rPr>
            </w:pPr>
          </w:p>
        </w:tc>
      </w:tr>
      <w:tr w:rsidR="00987BEF" w:rsidRPr="00987BEF" w14:paraId="5E511C6B" w14:textId="77777777" w:rsidTr="00257B98">
        <w:trPr>
          <w:gridAfter w:val="1"/>
          <w:wAfter w:w="14" w:type="dxa"/>
          <w:cantSplit/>
          <w:trHeight w:val="1613"/>
        </w:trPr>
        <w:tc>
          <w:tcPr>
            <w:tcW w:w="2029" w:type="dxa"/>
            <w:tcBorders>
              <w:top w:val="single" w:sz="4" w:space="0" w:color="auto"/>
              <w:bottom w:val="single" w:sz="4" w:space="0" w:color="auto"/>
            </w:tcBorders>
            <w:shd w:val="clear" w:color="auto" w:fill="E6E6E6"/>
            <w:vAlign w:val="center"/>
          </w:tcPr>
          <w:p w14:paraId="19C2A770"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地元の協力体制等</w:t>
            </w:r>
          </w:p>
        </w:tc>
        <w:tc>
          <w:tcPr>
            <w:tcW w:w="8716" w:type="dxa"/>
            <w:tcBorders>
              <w:top w:val="single" w:sz="4" w:space="0" w:color="auto"/>
              <w:bottom w:val="single" w:sz="4" w:space="0" w:color="auto"/>
            </w:tcBorders>
          </w:tcPr>
          <w:p w14:paraId="5B9E2DD5" w14:textId="48E6EFE3" w:rsidR="00817A18" w:rsidRPr="00987BEF" w:rsidRDefault="00BF2CDB" w:rsidP="00BF2CDB">
            <w:pPr>
              <w:ind w:firstLineChars="100" w:firstLine="210"/>
              <w:rPr>
                <w:rFonts w:ascii="ＭＳ 明朝" w:hAnsi="ＭＳ 明朝"/>
                <w:szCs w:val="21"/>
              </w:rPr>
            </w:pPr>
            <w:r w:rsidRPr="00987BEF">
              <w:rPr>
                <w:rFonts w:ascii="ＭＳ 明朝" w:hAnsi="ＭＳ 明朝" w:hint="eastAsia"/>
                <w:szCs w:val="21"/>
              </w:rPr>
              <w:t>泉大津市からは、</w:t>
            </w:r>
            <w:r w:rsidR="003C5FB4" w:rsidRPr="00987BEF">
              <w:rPr>
                <w:rFonts w:ascii="ＭＳ 明朝" w:hAnsi="ＭＳ 明朝" w:hint="eastAsia"/>
                <w:szCs w:val="21"/>
              </w:rPr>
              <w:t>公共下水道及び上水道整備事業</w:t>
            </w:r>
            <w:r w:rsidRPr="00987BEF">
              <w:rPr>
                <w:rFonts w:ascii="ＭＳ 明朝" w:hAnsi="ＭＳ 明朝" w:hint="eastAsia"/>
                <w:szCs w:val="21"/>
              </w:rPr>
              <w:t>を推進するなど、早期に道路整備が完成するよう協力がある。</w:t>
            </w:r>
          </w:p>
        </w:tc>
      </w:tr>
      <w:tr w:rsidR="00987BEF" w:rsidRPr="00987BEF" w14:paraId="37F61C4D" w14:textId="77777777" w:rsidTr="00257B98">
        <w:trPr>
          <w:gridAfter w:val="1"/>
          <w:wAfter w:w="14" w:type="dxa"/>
          <w:cantSplit/>
          <w:trHeight w:val="2877"/>
        </w:trPr>
        <w:tc>
          <w:tcPr>
            <w:tcW w:w="2029" w:type="dxa"/>
            <w:tcBorders>
              <w:bottom w:val="single" w:sz="4" w:space="0" w:color="auto"/>
            </w:tcBorders>
            <w:shd w:val="clear" w:color="auto" w:fill="E6E6E6"/>
            <w:vAlign w:val="center"/>
          </w:tcPr>
          <w:p w14:paraId="68BC1F1E"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事業の投資効果</w:t>
            </w:r>
          </w:p>
          <w:p w14:paraId="1402B178"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＜費用便益分析＞</w:t>
            </w:r>
          </w:p>
          <w:p w14:paraId="465F0DD4"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または</w:t>
            </w:r>
          </w:p>
          <w:p w14:paraId="47A2518F"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＜代替指標＞</w:t>
            </w:r>
          </w:p>
        </w:tc>
        <w:tc>
          <w:tcPr>
            <w:tcW w:w="8716" w:type="dxa"/>
            <w:tcBorders>
              <w:bottom w:val="single" w:sz="4" w:space="0" w:color="auto"/>
            </w:tcBorders>
          </w:tcPr>
          <w:p w14:paraId="1AE13EF9" w14:textId="5C005A3C" w:rsidR="00391363" w:rsidRPr="00987BEF" w:rsidRDefault="00391363" w:rsidP="00435209">
            <w:pPr>
              <w:rPr>
                <w:rFonts w:ascii="ＭＳ 明朝" w:hAnsi="ＭＳ 明朝"/>
                <w:szCs w:val="21"/>
              </w:rPr>
            </w:pPr>
          </w:p>
          <w:p w14:paraId="3F020F1C" w14:textId="77777777" w:rsidR="00391363" w:rsidRPr="00987BEF" w:rsidRDefault="00391363" w:rsidP="00435209">
            <w:pPr>
              <w:rPr>
                <w:rFonts w:ascii="ＭＳ 明朝" w:hAnsi="ＭＳ 明朝"/>
                <w:szCs w:val="21"/>
              </w:rPr>
            </w:pPr>
            <w:r w:rsidRPr="00987BEF">
              <w:rPr>
                <w:rFonts w:ascii="ＭＳ 明朝" w:hAnsi="ＭＳ 明朝" w:hint="eastAsia"/>
                <w:szCs w:val="21"/>
              </w:rPr>
              <w:t>＜費用便益分析＞</w:t>
            </w:r>
          </w:p>
          <w:p w14:paraId="306A0A98" w14:textId="1EFE43C3" w:rsidR="00435209" w:rsidRPr="00987BEF" w:rsidRDefault="00391363" w:rsidP="00391363">
            <w:pPr>
              <w:ind w:firstLineChars="100" w:firstLine="210"/>
              <w:rPr>
                <w:rFonts w:ascii="ＭＳ 明朝" w:hAnsi="ＭＳ 明朝"/>
                <w:szCs w:val="21"/>
              </w:rPr>
            </w:pPr>
            <w:r w:rsidRPr="00987BEF">
              <w:rPr>
                <w:rFonts w:ascii="ＭＳ 明朝" w:hAnsi="ＭＳ 明朝" w:hint="eastAsia"/>
                <w:szCs w:val="21"/>
              </w:rPr>
              <w:t>本事業については、</w:t>
            </w:r>
            <w:r w:rsidR="00435209" w:rsidRPr="00FB05C9">
              <w:rPr>
                <w:rFonts w:ascii="ＭＳ 明朝" w:hAnsi="ＭＳ 明朝" w:hint="eastAsia"/>
                <w:szCs w:val="21"/>
              </w:rPr>
              <w:t>費用便益の分析の手法が確立されておらず、算出できず。</w:t>
            </w:r>
          </w:p>
          <w:p w14:paraId="02511639" w14:textId="77777777" w:rsidR="00435209" w:rsidRPr="00987BEF" w:rsidRDefault="00435209" w:rsidP="00435209">
            <w:pPr>
              <w:rPr>
                <w:rFonts w:ascii="ＭＳ 明朝" w:hAnsi="ＭＳ 明朝"/>
                <w:szCs w:val="21"/>
              </w:rPr>
            </w:pPr>
          </w:p>
          <w:p w14:paraId="302CFCAA" w14:textId="3F63A48E" w:rsidR="00435209" w:rsidRPr="00987BEF" w:rsidRDefault="00435209" w:rsidP="00435209">
            <w:pPr>
              <w:rPr>
                <w:rFonts w:ascii="ＭＳ 明朝" w:hAnsi="ＭＳ 明朝"/>
                <w:szCs w:val="21"/>
              </w:rPr>
            </w:pPr>
            <w:r w:rsidRPr="00987BEF">
              <w:rPr>
                <w:rFonts w:ascii="ＭＳ 明朝" w:hAnsi="ＭＳ 明朝" w:hint="eastAsia"/>
                <w:szCs w:val="21"/>
              </w:rPr>
              <w:t>＜代替指標＞</w:t>
            </w:r>
          </w:p>
          <w:p w14:paraId="6419EA50" w14:textId="0F6CB326" w:rsidR="00A42F1A" w:rsidRPr="00987BEF" w:rsidRDefault="00391363" w:rsidP="00BD650C">
            <w:pPr>
              <w:ind w:firstLineChars="100" w:firstLine="210"/>
              <w:rPr>
                <w:rFonts w:ascii="ＭＳ 明朝" w:hAnsi="ＭＳ 明朝"/>
                <w:szCs w:val="21"/>
              </w:rPr>
            </w:pPr>
            <w:r w:rsidRPr="00987BEF">
              <w:rPr>
                <w:rFonts w:ascii="ＭＳ 明朝" w:hAnsi="ＭＳ 明朝" w:hint="eastAsia"/>
                <w:szCs w:val="21"/>
              </w:rPr>
              <w:t>当該</w:t>
            </w:r>
            <w:r w:rsidR="004F0765" w:rsidRPr="00987BEF">
              <w:rPr>
                <w:rFonts w:ascii="ＭＳ 明朝" w:hAnsi="ＭＳ 明朝" w:hint="eastAsia"/>
                <w:szCs w:val="21"/>
              </w:rPr>
              <w:t>港湾関連用地</w:t>
            </w:r>
            <w:r w:rsidR="00A42F1A" w:rsidRPr="00987BEF">
              <w:rPr>
                <w:rFonts w:ascii="ＭＳ 明朝" w:hAnsi="ＭＳ 明朝" w:hint="eastAsia"/>
                <w:szCs w:val="21"/>
              </w:rPr>
              <w:t>に</w:t>
            </w:r>
            <w:r w:rsidRPr="00987BEF">
              <w:rPr>
                <w:rFonts w:ascii="ＭＳ 明朝" w:hAnsi="ＭＳ 明朝" w:hint="eastAsia"/>
                <w:szCs w:val="21"/>
              </w:rPr>
              <w:t>ついて</w:t>
            </w:r>
            <w:r w:rsidR="00A42F1A" w:rsidRPr="00987BEF">
              <w:rPr>
                <w:rFonts w:ascii="ＭＳ 明朝" w:hAnsi="ＭＳ 明朝" w:hint="eastAsia"/>
                <w:szCs w:val="21"/>
              </w:rPr>
              <w:t>は、分譲または賃貸の両方が可能。対象区画</w:t>
            </w:r>
            <w:r w:rsidR="004B5DA6" w:rsidRPr="00987BEF">
              <w:rPr>
                <w:rFonts w:ascii="ＭＳ 明朝" w:hAnsi="ＭＳ 明朝" w:hint="eastAsia"/>
                <w:szCs w:val="21"/>
              </w:rPr>
              <w:t>（約15</w:t>
            </w:r>
            <w:r w:rsidR="004B5DA6" w:rsidRPr="00987BEF">
              <w:rPr>
                <w:rFonts w:ascii="ＭＳ 明朝" w:hAnsi="ＭＳ 明朝"/>
                <w:szCs w:val="21"/>
              </w:rPr>
              <w:t>ha）</w:t>
            </w:r>
            <w:r w:rsidR="00A42F1A" w:rsidRPr="00987BEF">
              <w:rPr>
                <w:rFonts w:ascii="ＭＳ 明朝" w:hAnsi="ＭＳ 明朝" w:hint="eastAsia"/>
                <w:szCs w:val="21"/>
              </w:rPr>
              <w:t>の分譲により、約</w:t>
            </w:r>
            <w:r w:rsidR="004B5DA6" w:rsidRPr="00987BEF">
              <w:rPr>
                <w:rFonts w:ascii="ＭＳ 明朝" w:hAnsi="ＭＳ 明朝" w:hint="eastAsia"/>
                <w:szCs w:val="21"/>
              </w:rPr>
              <w:t>69</w:t>
            </w:r>
            <w:r w:rsidR="00A42F1A" w:rsidRPr="00987BEF">
              <w:rPr>
                <w:rFonts w:ascii="ＭＳ 明朝" w:hAnsi="ＭＳ 明朝" w:hint="eastAsia"/>
                <w:szCs w:val="21"/>
              </w:rPr>
              <w:t>億円の収入が見込まれる。</w:t>
            </w:r>
          </w:p>
          <w:p w14:paraId="648BD244" w14:textId="5A102234" w:rsidR="00A42F1A" w:rsidRPr="00987BEF" w:rsidRDefault="00A42F1A" w:rsidP="00252F11">
            <w:pPr>
              <w:ind w:firstLineChars="100" w:firstLine="210"/>
              <w:rPr>
                <w:rFonts w:ascii="ＭＳ 明朝" w:hAnsi="ＭＳ 明朝"/>
                <w:szCs w:val="21"/>
              </w:rPr>
            </w:pPr>
            <w:r w:rsidRPr="00987BEF">
              <w:rPr>
                <w:rFonts w:ascii="ＭＳ 明朝" w:hAnsi="ＭＳ 明朝" w:hint="eastAsia"/>
                <w:szCs w:val="21"/>
              </w:rPr>
              <w:t xml:space="preserve">　※分譲価格を</w:t>
            </w:r>
            <w:r w:rsidR="004B5DA6" w:rsidRPr="00987BEF">
              <w:rPr>
                <w:rFonts w:ascii="ＭＳ 明朝" w:hAnsi="ＭＳ 明朝" w:hint="eastAsia"/>
                <w:szCs w:val="21"/>
              </w:rPr>
              <w:t>4.6</w:t>
            </w:r>
            <w:r w:rsidRPr="00987BEF">
              <w:rPr>
                <w:rFonts w:ascii="ＭＳ 明朝" w:hAnsi="ＭＳ 明朝" w:hint="eastAsia"/>
                <w:szCs w:val="21"/>
              </w:rPr>
              <w:t>万円</w:t>
            </w:r>
            <w:r w:rsidR="00A81C97" w:rsidRPr="00987BEF">
              <w:rPr>
                <w:rFonts w:ascii="ＭＳ 明朝" w:hAnsi="ＭＳ 明朝" w:hint="eastAsia"/>
                <w:szCs w:val="21"/>
              </w:rPr>
              <w:t>/㎡</w:t>
            </w:r>
            <w:r w:rsidRPr="00987BEF">
              <w:rPr>
                <w:rFonts w:ascii="ＭＳ 明朝" w:hAnsi="ＭＳ 明朝" w:hint="eastAsia"/>
                <w:szCs w:val="21"/>
              </w:rPr>
              <w:t>と想定</w:t>
            </w:r>
          </w:p>
          <w:p w14:paraId="7D015A67" w14:textId="5B158B3F" w:rsidR="00391363" w:rsidRPr="00987BEF" w:rsidRDefault="00391363" w:rsidP="00252F11">
            <w:pPr>
              <w:ind w:firstLineChars="100" w:firstLine="210"/>
              <w:rPr>
                <w:rFonts w:ascii="ＭＳ 明朝" w:hAnsi="ＭＳ 明朝"/>
                <w:szCs w:val="21"/>
              </w:rPr>
            </w:pPr>
          </w:p>
        </w:tc>
      </w:tr>
      <w:tr w:rsidR="00987BEF" w:rsidRPr="00987BEF" w14:paraId="77607557" w14:textId="77777777" w:rsidTr="00257B98">
        <w:trPr>
          <w:gridAfter w:val="1"/>
          <w:wAfter w:w="14" w:type="dxa"/>
          <w:cantSplit/>
          <w:trHeight w:val="3812"/>
        </w:trPr>
        <w:tc>
          <w:tcPr>
            <w:tcW w:w="2029" w:type="dxa"/>
            <w:tcBorders>
              <w:top w:val="single" w:sz="4" w:space="0" w:color="auto"/>
              <w:bottom w:val="dashSmallGap" w:sz="4" w:space="0" w:color="auto"/>
            </w:tcBorders>
            <w:shd w:val="clear" w:color="auto" w:fill="E6E6E6"/>
            <w:vAlign w:val="center"/>
          </w:tcPr>
          <w:p w14:paraId="77A88B9D"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lastRenderedPageBreak/>
              <w:t>事業効果の</w:t>
            </w:r>
          </w:p>
          <w:p w14:paraId="1800F77B"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定性的分析</w:t>
            </w:r>
          </w:p>
          <w:p w14:paraId="7822DD75" w14:textId="77777777" w:rsidR="006350B8" w:rsidRPr="00987BEF" w:rsidRDefault="006350B8" w:rsidP="006350B8">
            <w:pPr>
              <w:jc w:val="center"/>
              <w:rPr>
                <w:rFonts w:ascii="ＭＳ 明朝" w:hAnsi="ＭＳ 明朝"/>
                <w:szCs w:val="21"/>
              </w:rPr>
            </w:pPr>
            <w:r w:rsidRPr="00987BEF">
              <w:rPr>
                <w:rFonts w:ascii="ＭＳ 明朝" w:hAnsi="ＭＳ 明朝" w:hint="eastAsia"/>
                <w:szCs w:val="21"/>
              </w:rPr>
              <w:t>（安心・安全、活力、快適性等の有効性）</w:t>
            </w:r>
          </w:p>
        </w:tc>
        <w:tc>
          <w:tcPr>
            <w:tcW w:w="8716" w:type="dxa"/>
            <w:tcBorders>
              <w:top w:val="single" w:sz="4" w:space="0" w:color="auto"/>
              <w:bottom w:val="dashSmallGap" w:sz="4" w:space="0" w:color="auto"/>
            </w:tcBorders>
          </w:tcPr>
          <w:p w14:paraId="50A49436" w14:textId="4FA49894" w:rsidR="006350B8" w:rsidRPr="00987BEF" w:rsidRDefault="00575161" w:rsidP="006350B8">
            <w:pPr>
              <w:rPr>
                <w:rFonts w:ascii="ＭＳ 明朝" w:hAnsi="ＭＳ 明朝"/>
                <w:szCs w:val="21"/>
              </w:rPr>
            </w:pPr>
            <w:r w:rsidRPr="00987BEF">
              <w:rPr>
                <w:rFonts w:ascii="ＭＳ 明朝" w:hAnsi="ＭＳ 明朝" w:hint="eastAsia"/>
                <w:szCs w:val="21"/>
              </w:rPr>
              <w:t>【効果項目】</w:t>
            </w:r>
          </w:p>
          <w:p w14:paraId="4CCFB5BA" w14:textId="235BB9A5" w:rsidR="00297D75" w:rsidRPr="00987BEF" w:rsidRDefault="00297D75" w:rsidP="006350B8">
            <w:pPr>
              <w:rPr>
                <w:rFonts w:ascii="ＭＳ 明朝" w:hAnsi="ＭＳ 明朝"/>
                <w:szCs w:val="21"/>
              </w:rPr>
            </w:pPr>
            <w:r w:rsidRPr="00987BEF">
              <w:rPr>
                <w:rFonts w:ascii="ＭＳ 明朝" w:hAnsi="ＭＳ 明朝" w:hint="eastAsia"/>
                <w:szCs w:val="21"/>
              </w:rPr>
              <w:t>・分譲、賃貸収入により、港湾経営の安定化が図られる。</w:t>
            </w:r>
          </w:p>
          <w:p w14:paraId="77643C54" w14:textId="7C9F72E0" w:rsidR="00297D75" w:rsidRPr="00987BEF" w:rsidRDefault="00297D75" w:rsidP="006350B8">
            <w:pPr>
              <w:rPr>
                <w:rFonts w:ascii="ＭＳ 明朝" w:hAnsi="ＭＳ 明朝"/>
                <w:szCs w:val="21"/>
              </w:rPr>
            </w:pPr>
            <w:r w:rsidRPr="00987BEF">
              <w:rPr>
                <w:rFonts w:ascii="ＭＳ 明朝" w:hAnsi="ＭＳ 明朝" w:hint="eastAsia"/>
                <w:szCs w:val="21"/>
              </w:rPr>
              <w:t>・固定資産税等の収入による、地元市財政の安定化が図られる。</w:t>
            </w:r>
          </w:p>
          <w:p w14:paraId="00282E63" w14:textId="77777777" w:rsidR="00E735F6" w:rsidRPr="00987BEF" w:rsidRDefault="00E735F6" w:rsidP="00E735F6">
            <w:pPr>
              <w:rPr>
                <w:rFonts w:ascii="ＭＳ 明朝" w:hAnsi="ＭＳ 明朝"/>
                <w:szCs w:val="21"/>
              </w:rPr>
            </w:pPr>
            <w:r w:rsidRPr="00987BEF">
              <w:rPr>
                <w:rFonts w:ascii="ＭＳ 明朝" w:hAnsi="ＭＳ 明朝" w:hint="eastAsia"/>
                <w:szCs w:val="21"/>
              </w:rPr>
              <w:t>・中古自動車の輸出拠点港として、効率的に中古自動車を取り扱うことができる。</w:t>
            </w:r>
          </w:p>
          <w:p w14:paraId="766D3110" w14:textId="77777777" w:rsidR="00575161" w:rsidRPr="00987BEF" w:rsidRDefault="00575161" w:rsidP="0057703C">
            <w:pPr>
              <w:rPr>
                <w:rFonts w:ascii="ＭＳ 明朝" w:hAnsi="ＭＳ 明朝"/>
                <w:szCs w:val="21"/>
              </w:rPr>
            </w:pPr>
          </w:p>
          <w:p w14:paraId="2A11C1AB" w14:textId="77777777" w:rsidR="00575161" w:rsidRPr="00987BEF" w:rsidRDefault="00575161" w:rsidP="00575161">
            <w:pPr>
              <w:rPr>
                <w:rFonts w:ascii="ＭＳ 明朝" w:hAnsi="ＭＳ 明朝"/>
                <w:szCs w:val="21"/>
              </w:rPr>
            </w:pPr>
            <w:r w:rsidRPr="00987BEF">
              <w:rPr>
                <w:rFonts w:ascii="ＭＳ 明朝" w:hAnsi="ＭＳ 明朝" w:hint="eastAsia"/>
                <w:szCs w:val="21"/>
              </w:rPr>
              <w:t>【受益者】</w:t>
            </w:r>
          </w:p>
          <w:p w14:paraId="5EB24938" w14:textId="1E723BF0" w:rsidR="00575161" w:rsidRPr="00987BEF" w:rsidRDefault="00575161" w:rsidP="00575161">
            <w:pPr>
              <w:ind w:left="139" w:hangingChars="66" w:hanging="139"/>
              <w:rPr>
                <w:rFonts w:ascii="ＭＳ 明朝" w:hAnsi="ＭＳ 明朝"/>
                <w:szCs w:val="21"/>
              </w:rPr>
            </w:pPr>
            <w:r w:rsidRPr="00987BEF">
              <w:rPr>
                <w:rFonts w:ascii="ＭＳ 明朝" w:hAnsi="ＭＳ 明朝" w:hint="eastAsia"/>
                <w:szCs w:val="21"/>
              </w:rPr>
              <w:t>・府民</w:t>
            </w:r>
            <w:r w:rsidR="002D6166" w:rsidRPr="00987BEF">
              <w:rPr>
                <w:rFonts w:ascii="ＭＳ 明朝" w:hAnsi="ＭＳ 明朝" w:hint="eastAsia"/>
                <w:szCs w:val="21"/>
              </w:rPr>
              <w:t>、</w:t>
            </w:r>
            <w:r w:rsidR="006B5B69" w:rsidRPr="00CE31C9">
              <w:rPr>
                <w:rFonts w:ascii="ＭＳ 明朝" w:hAnsi="ＭＳ 明朝" w:hint="eastAsia"/>
                <w:szCs w:val="21"/>
              </w:rPr>
              <w:t>泉大津市民、</w:t>
            </w:r>
            <w:r w:rsidR="002D6166" w:rsidRPr="00CE31C9">
              <w:rPr>
                <w:rFonts w:ascii="ＭＳ 明朝" w:hAnsi="ＭＳ 明朝" w:hint="eastAsia"/>
                <w:szCs w:val="21"/>
              </w:rPr>
              <w:t>港湾関連事</w:t>
            </w:r>
            <w:r w:rsidR="002D6166" w:rsidRPr="00987BEF">
              <w:rPr>
                <w:rFonts w:ascii="ＭＳ 明朝" w:hAnsi="ＭＳ 明朝" w:hint="eastAsia"/>
                <w:szCs w:val="21"/>
              </w:rPr>
              <w:t>業者</w:t>
            </w:r>
          </w:p>
          <w:p w14:paraId="4AFD6D8C" w14:textId="6A7D9588" w:rsidR="006350B8" w:rsidRPr="00987BEF" w:rsidRDefault="006350B8" w:rsidP="00575161">
            <w:pPr>
              <w:ind w:left="139" w:hangingChars="66" w:hanging="139"/>
              <w:rPr>
                <w:rFonts w:ascii="ＭＳ 明朝" w:hAnsi="ＭＳ 明朝"/>
                <w:szCs w:val="21"/>
              </w:rPr>
            </w:pPr>
          </w:p>
        </w:tc>
      </w:tr>
      <w:tr w:rsidR="00987BEF" w:rsidRPr="00987BEF" w14:paraId="11C0660D" w14:textId="77777777" w:rsidTr="00257B98">
        <w:trPr>
          <w:gridAfter w:val="1"/>
          <w:wAfter w:w="14" w:type="dxa"/>
          <w:cantSplit/>
          <w:trHeight w:val="2684"/>
        </w:trPr>
        <w:tc>
          <w:tcPr>
            <w:tcW w:w="2029" w:type="dxa"/>
            <w:tcBorders>
              <w:top w:val="dashSmallGap" w:sz="4" w:space="0" w:color="auto"/>
            </w:tcBorders>
            <w:shd w:val="clear" w:color="auto" w:fill="E6E6E6"/>
            <w:vAlign w:val="center"/>
          </w:tcPr>
          <w:p w14:paraId="3E040726" w14:textId="77777777" w:rsidR="00DB2B22" w:rsidRPr="00987BEF" w:rsidRDefault="00DB2B22" w:rsidP="00DB2B22">
            <w:pPr>
              <w:jc w:val="center"/>
              <w:rPr>
                <w:rFonts w:ascii="ＭＳ 明朝" w:hAnsi="ＭＳ 明朝"/>
                <w:szCs w:val="21"/>
              </w:rPr>
            </w:pPr>
            <w:r w:rsidRPr="00987BEF">
              <w:rPr>
                <w:rFonts w:ascii="ＭＳ 明朝" w:hAnsi="ＭＳ 明朝" w:hint="eastAsia"/>
                <w:szCs w:val="21"/>
              </w:rPr>
              <w:t>事業段階ごとの</w:t>
            </w:r>
          </w:p>
          <w:p w14:paraId="44C27197" w14:textId="3B931AC4" w:rsidR="00DB2B22" w:rsidRPr="00987BEF" w:rsidRDefault="00DB2B22" w:rsidP="00DB2B22">
            <w:pPr>
              <w:jc w:val="center"/>
              <w:rPr>
                <w:rFonts w:ascii="ＭＳ 明朝" w:hAnsi="ＭＳ 明朝"/>
                <w:szCs w:val="21"/>
              </w:rPr>
            </w:pPr>
            <w:r w:rsidRPr="00987BEF">
              <w:rPr>
                <w:rFonts w:ascii="ＭＳ 明朝" w:hAnsi="ＭＳ 明朝" w:hint="eastAsia"/>
                <w:szCs w:val="21"/>
              </w:rPr>
              <w:t>進捗予定と効果</w:t>
            </w:r>
          </w:p>
        </w:tc>
        <w:tc>
          <w:tcPr>
            <w:tcW w:w="8716" w:type="dxa"/>
            <w:tcBorders>
              <w:top w:val="dashSmallGap" w:sz="4" w:space="0" w:color="auto"/>
            </w:tcBorders>
          </w:tcPr>
          <w:p w14:paraId="0EF800FD" w14:textId="77777777" w:rsidR="003C5FB4" w:rsidRPr="00987BEF" w:rsidRDefault="003C5FB4" w:rsidP="00DB2B22">
            <w:pPr>
              <w:rPr>
                <w:rFonts w:ascii="ＭＳ 明朝" w:hAnsi="ＭＳ 明朝"/>
                <w:szCs w:val="21"/>
              </w:rPr>
            </w:pPr>
          </w:p>
          <w:p w14:paraId="5B421114" w14:textId="0FB7012C" w:rsidR="003C5FB4" w:rsidRPr="00987BEF" w:rsidRDefault="003C5FB4" w:rsidP="00DB2B22">
            <w:pPr>
              <w:rPr>
                <w:rFonts w:ascii="ＭＳ 明朝" w:hAnsi="ＭＳ 明朝"/>
                <w:szCs w:val="21"/>
              </w:rPr>
            </w:pPr>
            <w:r w:rsidRPr="00987BEF">
              <w:rPr>
                <w:rFonts w:ascii="ＭＳ 明朝" w:hAnsi="ＭＳ 明朝" w:hint="eastAsia"/>
                <w:szCs w:val="21"/>
              </w:rPr>
              <w:t xml:space="preserve">令和２年度　</w:t>
            </w:r>
            <w:r w:rsidR="0042730C">
              <w:rPr>
                <w:rFonts w:ascii="ＭＳ 明朝" w:hAnsi="ＭＳ 明朝" w:hint="eastAsia"/>
                <w:szCs w:val="21"/>
              </w:rPr>
              <w:t>道路詳細設計</w:t>
            </w:r>
            <w:r w:rsidRPr="00987BEF">
              <w:rPr>
                <w:rFonts w:ascii="ＭＳ 明朝" w:hAnsi="ＭＳ 明朝" w:hint="eastAsia"/>
                <w:szCs w:val="21"/>
              </w:rPr>
              <w:t>、</w:t>
            </w:r>
            <w:r w:rsidR="00130CF2">
              <w:rPr>
                <w:rFonts w:ascii="ＭＳ 明朝" w:hAnsi="ＭＳ 明朝" w:hint="eastAsia"/>
                <w:szCs w:val="21"/>
              </w:rPr>
              <w:t>測量、</w:t>
            </w:r>
            <w:r w:rsidRPr="00987BEF">
              <w:rPr>
                <w:rFonts w:ascii="ＭＳ 明朝" w:hAnsi="ＭＳ 明朝" w:hint="eastAsia"/>
                <w:szCs w:val="21"/>
              </w:rPr>
              <w:t>土質調査</w:t>
            </w:r>
          </w:p>
          <w:p w14:paraId="728C770F" w14:textId="37FD0CAB" w:rsidR="00625EBC" w:rsidRPr="006C3F4D" w:rsidRDefault="003C5FB4" w:rsidP="003C5FB4">
            <w:pPr>
              <w:rPr>
                <w:rFonts w:ascii="ＭＳ 明朝" w:hAnsi="ＭＳ 明朝"/>
                <w:szCs w:val="21"/>
              </w:rPr>
            </w:pPr>
            <w:r w:rsidRPr="00987BEF">
              <w:rPr>
                <w:rFonts w:ascii="ＭＳ 明朝" w:hAnsi="ＭＳ 明朝" w:hint="eastAsia"/>
                <w:szCs w:val="21"/>
              </w:rPr>
              <w:t>令和７年度　工事着手</w:t>
            </w:r>
            <w:r w:rsidR="00BC1016" w:rsidRPr="00CE31C9">
              <w:rPr>
                <w:rFonts w:ascii="ＭＳ 明朝" w:hAnsi="ＭＳ 明朝" w:hint="eastAsia"/>
                <w:szCs w:val="21"/>
              </w:rPr>
              <w:t>、</w:t>
            </w:r>
            <w:r w:rsidR="00BD650C" w:rsidRPr="00CE31C9">
              <w:rPr>
                <w:rFonts w:ascii="ＭＳ 明朝" w:hAnsi="ＭＳ 明朝" w:hint="eastAsia"/>
                <w:szCs w:val="21"/>
              </w:rPr>
              <w:t>工事完了、</w:t>
            </w:r>
            <w:r w:rsidR="000347F5" w:rsidRPr="006C3F4D">
              <w:rPr>
                <w:rFonts w:ascii="ＭＳ 明朝" w:hAnsi="ＭＳ 明朝" w:hint="eastAsia"/>
                <w:szCs w:val="21"/>
              </w:rPr>
              <w:t>道路供用開始予定</w:t>
            </w:r>
          </w:p>
        </w:tc>
      </w:tr>
      <w:tr w:rsidR="00987BEF" w:rsidRPr="00987BEF" w14:paraId="49330086" w14:textId="77777777" w:rsidTr="00257B98">
        <w:trPr>
          <w:gridAfter w:val="1"/>
          <w:wAfter w:w="14" w:type="dxa"/>
          <w:cantSplit/>
          <w:trHeight w:val="369"/>
        </w:trPr>
        <w:tc>
          <w:tcPr>
            <w:tcW w:w="2029" w:type="dxa"/>
            <w:tcBorders>
              <w:top w:val="dashSmallGap" w:sz="4" w:space="0" w:color="auto"/>
              <w:bottom w:val="single" w:sz="4" w:space="0" w:color="auto"/>
            </w:tcBorders>
            <w:shd w:val="clear" w:color="auto" w:fill="E6E6E6"/>
            <w:vAlign w:val="center"/>
          </w:tcPr>
          <w:p w14:paraId="0A06F5A9" w14:textId="77777777" w:rsidR="005E775B" w:rsidRPr="00987BEF" w:rsidRDefault="005E775B" w:rsidP="00A90C04">
            <w:pPr>
              <w:jc w:val="center"/>
              <w:rPr>
                <w:rFonts w:ascii="ＭＳ 明朝" w:hAnsi="ＭＳ 明朝"/>
                <w:szCs w:val="21"/>
              </w:rPr>
            </w:pPr>
            <w:r w:rsidRPr="00987BEF">
              <w:rPr>
                <w:rFonts w:ascii="ＭＳ 明朝" w:hAnsi="ＭＳ 明朝" w:hint="eastAsia"/>
                <w:szCs w:val="21"/>
              </w:rPr>
              <w:t>完成予定年度</w:t>
            </w:r>
          </w:p>
        </w:tc>
        <w:tc>
          <w:tcPr>
            <w:tcW w:w="8716" w:type="dxa"/>
            <w:tcBorders>
              <w:top w:val="dashSmallGap" w:sz="4" w:space="0" w:color="auto"/>
              <w:bottom w:val="single" w:sz="4" w:space="0" w:color="auto"/>
            </w:tcBorders>
          </w:tcPr>
          <w:p w14:paraId="68CADAA6" w14:textId="2EB84C8C" w:rsidR="00FC7720" w:rsidRPr="00987BEF" w:rsidRDefault="00FC7720" w:rsidP="00A90C04">
            <w:pPr>
              <w:rPr>
                <w:rFonts w:ascii="ＭＳ 明朝" w:hAnsi="ＭＳ 明朝"/>
                <w:szCs w:val="21"/>
              </w:rPr>
            </w:pPr>
            <w:r w:rsidRPr="00987BEF">
              <w:rPr>
                <w:rFonts w:ascii="ＭＳ 明朝" w:hAnsi="ＭＳ 明朝" w:hint="eastAsia"/>
                <w:szCs w:val="21"/>
              </w:rPr>
              <w:t>令和</w:t>
            </w:r>
            <w:r w:rsidR="00546901" w:rsidRPr="00987BEF">
              <w:rPr>
                <w:rFonts w:ascii="ＭＳ 明朝" w:hAnsi="ＭＳ 明朝" w:hint="eastAsia"/>
                <w:szCs w:val="21"/>
              </w:rPr>
              <w:t>７</w:t>
            </w:r>
            <w:r w:rsidRPr="00987BEF">
              <w:rPr>
                <w:rFonts w:ascii="ＭＳ 明朝" w:hAnsi="ＭＳ 明朝" w:hint="eastAsia"/>
                <w:szCs w:val="21"/>
              </w:rPr>
              <w:t>年度</w:t>
            </w:r>
          </w:p>
        </w:tc>
      </w:tr>
      <w:tr w:rsidR="00987BEF" w:rsidRPr="00987BEF" w14:paraId="79EED045" w14:textId="77777777" w:rsidTr="00257B98">
        <w:trPr>
          <w:gridAfter w:val="1"/>
          <w:wAfter w:w="14" w:type="dxa"/>
          <w:cantSplit/>
          <w:trHeight w:val="1165"/>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44A7F5F0" w14:textId="77777777" w:rsidR="0034610E" w:rsidRPr="00987BEF" w:rsidRDefault="002609E8" w:rsidP="00A90C04">
            <w:pPr>
              <w:jc w:val="center"/>
            </w:pPr>
            <w:r w:rsidRPr="00987BEF">
              <w:rPr>
                <w:rFonts w:hint="eastAsia"/>
              </w:rPr>
              <w:t>代替</w:t>
            </w:r>
            <w:r w:rsidR="0034610E" w:rsidRPr="00987BEF">
              <w:rPr>
                <w:rFonts w:hint="eastAsia"/>
              </w:rPr>
              <w:t>手法との</w:t>
            </w:r>
          </w:p>
          <w:p w14:paraId="7A92C92F" w14:textId="77777777" w:rsidR="002609E8" w:rsidRPr="00987BEF" w:rsidRDefault="0034610E" w:rsidP="00A90C04">
            <w:pPr>
              <w:jc w:val="center"/>
              <w:rPr>
                <w:rFonts w:ascii="ＭＳ 明朝" w:hAnsi="ＭＳ 明朝"/>
                <w:szCs w:val="21"/>
              </w:rPr>
            </w:pPr>
            <w:r w:rsidRPr="00987BEF">
              <w:rPr>
                <w:rFonts w:hint="eastAsia"/>
              </w:rPr>
              <w:t>比較検討</w:t>
            </w:r>
          </w:p>
        </w:tc>
        <w:tc>
          <w:tcPr>
            <w:tcW w:w="8716" w:type="dxa"/>
            <w:tcBorders>
              <w:top w:val="single" w:sz="4" w:space="0" w:color="auto"/>
              <w:left w:val="single" w:sz="4" w:space="0" w:color="auto"/>
              <w:bottom w:val="single" w:sz="4" w:space="0" w:color="auto"/>
              <w:right w:val="single" w:sz="4" w:space="0" w:color="auto"/>
            </w:tcBorders>
          </w:tcPr>
          <w:p w14:paraId="6C3CF779" w14:textId="231B53A1" w:rsidR="002609E8" w:rsidRPr="006C3F4D" w:rsidRDefault="003C5FB4" w:rsidP="003C5FB4">
            <w:pPr>
              <w:rPr>
                <w:rFonts w:ascii="ＭＳ 明朝" w:hAnsi="ＭＳ 明朝"/>
                <w:szCs w:val="21"/>
              </w:rPr>
            </w:pPr>
            <w:r w:rsidRPr="00987BEF">
              <w:rPr>
                <w:rFonts w:ascii="ＭＳ 明朝" w:hAnsi="ＭＳ 明朝" w:hint="eastAsia"/>
                <w:szCs w:val="21"/>
              </w:rPr>
              <w:t xml:space="preserve">　</w:t>
            </w:r>
            <w:r w:rsidR="000347F5" w:rsidRPr="006C3F4D">
              <w:rPr>
                <w:rFonts w:ascii="ＭＳ 明朝" w:hAnsi="ＭＳ 明朝" w:hint="eastAsia"/>
                <w:szCs w:val="21"/>
              </w:rPr>
              <w:t>港湾関連用地の土地処分を行うためには、道路整備以外の方法はない。</w:t>
            </w:r>
          </w:p>
        </w:tc>
      </w:tr>
      <w:tr w:rsidR="00987BEF" w:rsidRPr="00987BEF" w14:paraId="49FF03A0" w14:textId="77777777" w:rsidTr="00257B98">
        <w:trPr>
          <w:gridAfter w:val="1"/>
          <w:wAfter w:w="14" w:type="dxa"/>
          <w:cantSplit/>
          <w:trHeight w:val="1769"/>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59B8D5E2" w14:textId="77777777" w:rsidR="002609E8" w:rsidRPr="00987BEF" w:rsidRDefault="002609E8" w:rsidP="00A90C04">
            <w:pPr>
              <w:jc w:val="center"/>
              <w:rPr>
                <w:rFonts w:ascii="ＭＳ 明朝" w:hAnsi="ＭＳ 明朝"/>
                <w:szCs w:val="21"/>
              </w:rPr>
            </w:pPr>
            <w:r w:rsidRPr="00987BEF">
              <w:rPr>
                <w:rFonts w:ascii="ＭＳ 明朝" w:hAnsi="ＭＳ 明朝" w:hint="eastAsia"/>
                <w:szCs w:val="21"/>
              </w:rPr>
              <w:t>自然環境等への</w:t>
            </w:r>
          </w:p>
          <w:p w14:paraId="22F231D2" w14:textId="77777777" w:rsidR="002609E8" w:rsidRPr="00987BEF" w:rsidRDefault="002609E8" w:rsidP="00A90C04">
            <w:pPr>
              <w:jc w:val="center"/>
              <w:rPr>
                <w:rFonts w:ascii="ＭＳ 明朝" w:hAnsi="ＭＳ 明朝"/>
                <w:szCs w:val="21"/>
              </w:rPr>
            </w:pPr>
            <w:r w:rsidRPr="00987BEF">
              <w:rPr>
                <w:rFonts w:ascii="ＭＳ 明朝" w:hAnsi="ＭＳ 明朝" w:hint="eastAsia"/>
                <w:szCs w:val="21"/>
              </w:rPr>
              <w:t>影響とその対策</w:t>
            </w:r>
          </w:p>
        </w:tc>
        <w:tc>
          <w:tcPr>
            <w:tcW w:w="8716" w:type="dxa"/>
            <w:tcBorders>
              <w:top w:val="single" w:sz="4" w:space="0" w:color="auto"/>
              <w:left w:val="single" w:sz="4" w:space="0" w:color="auto"/>
              <w:bottom w:val="single" w:sz="4" w:space="0" w:color="auto"/>
              <w:right w:val="single" w:sz="4" w:space="0" w:color="auto"/>
            </w:tcBorders>
          </w:tcPr>
          <w:p w14:paraId="567462CC" w14:textId="7C782D51" w:rsidR="00FC7720" w:rsidRPr="00987BEF" w:rsidRDefault="00546901" w:rsidP="00546901">
            <w:pPr>
              <w:ind w:firstLineChars="100" w:firstLine="210"/>
              <w:rPr>
                <w:rFonts w:ascii="ＭＳ 明朝" w:hAnsi="ＭＳ 明朝"/>
                <w:szCs w:val="21"/>
              </w:rPr>
            </w:pPr>
            <w:r w:rsidRPr="00987BEF">
              <w:rPr>
                <w:rFonts w:hint="eastAsia"/>
              </w:rPr>
              <w:t>既成埋立地における事業であり、新たに自然環境に与える影響はほとんどない</w:t>
            </w:r>
            <w:r w:rsidR="00F6317D">
              <w:rPr>
                <w:rFonts w:hint="eastAsia"/>
              </w:rPr>
              <w:t>。</w:t>
            </w:r>
          </w:p>
        </w:tc>
      </w:tr>
      <w:tr w:rsidR="00987BEF" w:rsidRPr="00987BEF" w14:paraId="69D97B0F" w14:textId="77777777" w:rsidTr="00257B98">
        <w:trPr>
          <w:gridAfter w:val="1"/>
          <w:wAfter w:w="14" w:type="dxa"/>
          <w:cantSplit/>
          <w:trHeight w:val="1142"/>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573AF0F5" w14:textId="77777777" w:rsidR="00C711F0" w:rsidRPr="00987BEF" w:rsidRDefault="00C711F0" w:rsidP="00C711F0">
            <w:pPr>
              <w:jc w:val="center"/>
              <w:rPr>
                <w:rFonts w:ascii="ＭＳ 明朝" w:hAnsi="ＭＳ 明朝"/>
                <w:szCs w:val="21"/>
              </w:rPr>
            </w:pPr>
            <w:r w:rsidRPr="00987BEF">
              <w:rPr>
                <w:rFonts w:ascii="ＭＳ 明朝" w:hAnsi="ＭＳ 明朝" w:hint="eastAsia"/>
                <w:szCs w:val="21"/>
              </w:rPr>
              <w:t>その他</w:t>
            </w:r>
            <w:r w:rsidR="0034610E" w:rsidRPr="00987BEF">
              <w:rPr>
                <w:rFonts w:hint="eastAsia"/>
              </w:rPr>
              <w:t>特記事項</w:t>
            </w:r>
          </w:p>
        </w:tc>
        <w:tc>
          <w:tcPr>
            <w:tcW w:w="8716" w:type="dxa"/>
            <w:tcBorders>
              <w:top w:val="single" w:sz="4" w:space="0" w:color="auto"/>
              <w:left w:val="single" w:sz="4" w:space="0" w:color="auto"/>
              <w:bottom w:val="single" w:sz="4" w:space="0" w:color="auto"/>
              <w:right w:val="single" w:sz="4" w:space="0" w:color="auto"/>
            </w:tcBorders>
          </w:tcPr>
          <w:p w14:paraId="0B3ACD0F" w14:textId="4BCB8FBD" w:rsidR="00C711F0" w:rsidRPr="00987BEF" w:rsidRDefault="00A42F1A" w:rsidP="00C711F0">
            <w:pPr>
              <w:rPr>
                <w:rFonts w:ascii="ＭＳ 明朝" w:hAnsi="ＭＳ 明朝"/>
                <w:szCs w:val="21"/>
              </w:rPr>
            </w:pPr>
            <w:r w:rsidRPr="00987BEF">
              <w:rPr>
                <w:rFonts w:ascii="ＭＳ 明朝" w:hAnsi="ＭＳ 明朝" w:hint="eastAsia"/>
                <w:szCs w:val="21"/>
              </w:rPr>
              <w:t xml:space="preserve">　</w:t>
            </w:r>
            <w:r w:rsidR="00F6317D">
              <w:rPr>
                <w:rFonts w:ascii="ＭＳ 明朝" w:hAnsi="ＭＳ 明朝" w:hint="eastAsia"/>
                <w:szCs w:val="21"/>
              </w:rPr>
              <w:t>特になし。</w:t>
            </w:r>
          </w:p>
        </w:tc>
      </w:tr>
    </w:tbl>
    <w:p w14:paraId="5752DAA5" w14:textId="77777777" w:rsidR="00671B50" w:rsidRPr="00987BEF" w:rsidRDefault="00671B50" w:rsidP="002609E8"/>
    <w:tbl>
      <w:tblPr>
        <w:tblW w:w="0" w:type="auto"/>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2027"/>
        <w:gridCol w:w="8718"/>
      </w:tblGrid>
      <w:tr w:rsidR="00987BEF" w:rsidRPr="00987BEF" w14:paraId="05E3BE61" w14:textId="77777777" w:rsidTr="00562405">
        <w:trPr>
          <w:cantSplit/>
          <w:trHeight w:val="2833"/>
        </w:trPr>
        <w:tc>
          <w:tcPr>
            <w:tcW w:w="2036" w:type="dxa"/>
            <w:shd w:val="clear" w:color="auto" w:fill="E6E6E6"/>
            <w:vAlign w:val="center"/>
          </w:tcPr>
          <w:p w14:paraId="39B3BCEA" w14:textId="77777777" w:rsidR="00DB2B22" w:rsidRPr="00987BEF" w:rsidRDefault="00DB2B22" w:rsidP="00562405">
            <w:pPr>
              <w:jc w:val="center"/>
              <w:rPr>
                <w:rFonts w:ascii="ＭＳ 明朝" w:hAnsi="ＭＳ 明朝"/>
                <w:szCs w:val="21"/>
              </w:rPr>
            </w:pPr>
            <w:r w:rsidRPr="00987BEF">
              <w:rPr>
                <w:rFonts w:ascii="ＭＳ 明朝" w:hAnsi="ＭＳ 明朝" w:hint="eastAsia"/>
                <w:szCs w:val="21"/>
              </w:rPr>
              <w:t>評価結果</w:t>
            </w:r>
          </w:p>
        </w:tc>
        <w:tc>
          <w:tcPr>
            <w:tcW w:w="8766" w:type="dxa"/>
          </w:tcPr>
          <w:p w14:paraId="3F633FEA" w14:textId="77777777" w:rsidR="00DB2B22" w:rsidRPr="00987BEF" w:rsidRDefault="00DB2B22" w:rsidP="00562405">
            <w:pPr>
              <w:rPr>
                <w:rFonts w:ascii="ＭＳ 明朝" w:hAnsi="ＭＳ 明朝"/>
                <w:szCs w:val="21"/>
              </w:rPr>
            </w:pPr>
            <w:r w:rsidRPr="00987BEF">
              <w:rPr>
                <w:rFonts w:ascii="ＭＳ 明朝" w:hAnsi="ＭＳ 明朝" w:hint="eastAsia"/>
                <w:szCs w:val="21"/>
              </w:rPr>
              <w:t>・事業実施は妥当</w:t>
            </w:r>
          </w:p>
          <w:p w14:paraId="5D97C4DB" w14:textId="77777777" w:rsidR="00DB2B22" w:rsidRPr="00987BEF" w:rsidRDefault="00DB2B22" w:rsidP="00562405">
            <w:pPr>
              <w:rPr>
                <w:rFonts w:ascii="ＭＳ 明朝" w:hAnsi="ＭＳ 明朝"/>
                <w:szCs w:val="21"/>
              </w:rPr>
            </w:pPr>
            <w:r w:rsidRPr="00987BEF">
              <w:rPr>
                <w:rFonts w:ascii="ＭＳ 明朝" w:hAnsi="ＭＳ 明朝" w:hint="eastAsia"/>
                <w:szCs w:val="21"/>
              </w:rPr>
              <w:t>＜判断の理由＞</w:t>
            </w:r>
          </w:p>
          <w:p w14:paraId="2267DF06" w14:textId="1CE288C9" w:rsidR="004903C3" w:rsidRPr="00CE31C9" w:rsidRDefault="00F61949" w:rsidP="00F61949">
            <w:pPr>
              <w:rPr>
                <w:rFonts w:ascii="ＭＳ 明朝" w:hAnsi="ＭＳ 明朝"/>
                <w:szCs w:val="21"/>
              </w:rPr>
            </w:pPr>
            <w:r w:rsidRPr="00CE31C9">
              <w:rPr>
                <w:rFonts w:ascii="ＭＳ 明朝" w:hAnsi="ＭＳ 明朝" w:hint="eastAsia"/>
                <w:szCs w:val="21"/>
              </w:rPr>
              <w:t xml:space="preserve">　</w:t>
            </w:r>
            <w:r w:rsidR="0042730C" w:rsidRPr="006C3F4D">
              <w:rPr>
                <w:rFonts w:ascii="ＭＳ 明朝" w:hAnsi="ＭＳ 明朝" w:hint="eastAsia"/>
                <w:szCs w:val="21"/>
              </w:rPr>
              <w:t>堺泉北港汐見沖地区の港湾関連用地に</w:t>
            </w:r>
            <w:r w:rsidR="00F6317D" w:rsidRPr="006C3F4D">
              <w:rPr>
                <w:rFonts w:ascii="ＭＳ 明朝" w:hAnsi="ＭＳ 明朝" w:hint="eastAsia"/>
                <w:szCs w:val="21"/>
              </w:rPr>
              <w:t>ついては</w:t>
            </w:r>
            <w:r w:rsidR="0042730C" w:rsidRPr="006C3F4D">
              <w:rPr>
                <w:rFonts w:ascii="ＭＳ 明朝" w:hAnsi="ＭＳ 明朝" w:hint="eastAsia"/>
                <w:szCs w:val="21"/>
              </w:rPr>
              <w:t>早期の土地利用が求められており、</w:t>
            </w:r>
            <w:r w:rsidR="00F6317D" w:rsidRPr="006C3F4D">
              <w:rPr>
                <w:rFonts w:ascii="ＭＳ 明朝" w:hAnsi="ＭＳ 明朝" w:hint="eastAsia"/>
                <w:szCs w:val="21"/>
              </w:rPr>
              <w:t>アクセス道路</w:t>
            </w:r>
            <w:r w:rsidR="000347F5" w:rsidRPr="006C3F4D">
              <w:rPr>
                <w:rFonts w:ascii="ＭＳ 明朝" w:hAnsi="ＭＳ 明朝" w:hint="eastAsia"/>
                <w:szCs w:val="21"/>
              </w:rPr>
              <w:t>の</w:t>
            </w:r>
            <w:r w:rsidR="00F6317D" w:rsidRPr="006C3F4D">
              <w:rPr>
                <w:rFonts w:ascii="ＭＳ 明朝" w:hAnsi="ＭＳ 明朝" w:hint="eastAsia"/>
                <w:szCs w:val="21"/>
              </w:rPr>
              <w:t>整備を早急に行う必要がある。また、</w:t>
            </w:r>
            <w:r w:rsidR="0042730C" w:rsidRPr="006C3F4D">
              <w:rPr>
                <w:rFonts w:ascii="ＭＳ 明朝" w:hAnsi="ＭＳ 明朝" w:hint="eastAsia"/>
                <w:szCs w:val="21"/>
              </w:rPr>
              <w:t>港湾経営や</w:t>
            </w:r>
            <w:r w:rsidR="0042730C" w:rsidRPr="00CE31C9">
              <w:rPr>
                <w:rFonts w:ascii="ＭＳ 明朝" w:hAnsi="ＭＳ 明朝" w:hint="eastAsia"/>
                <w:szCs w:val="21"/>
              </w:rPr>
              <w:t>市財政等の安定などの効果が認められることから「事業実施」とする。</w:t>
            </w:r>
          </w:p>
        </w:tc>
      </w:tr>
    </w:tbl>
    <w:p w14:paraId="74323702" w14:textId="77777777" w:rsidR="00DB2B22" w:rsidRPr="00F61949" w:rsidRDefault="00DB2B22" w:rsidP="002609E8"/>
    <w:p w14:paraId="209AD0DF" w14:textId="24A539B4" w:rsidR="00671B50" w:rsidRPr="00F61949" w:rsidRDefault="00671B50" w:rsidP="002609E8"/>
    <w:sectPr w:rsidR="00671B50" w:rsidRPr="00F61949" w:rsidSect="006C27D0">
      <w:pgSz w:w="11905" w:h="16838" w:orient="landscape" w:code="8"/>
      <w:pgMar w:top="539" w:right="720" w:bottom="567"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936D" w14:textId="77777777" w:rsidR="00F233CB" w:rsidRDefault="00F233CB" w:rsidP="00692D08">
      <w:r>
        <w:separator/>
      </w:r>
    </w:p>
  </w:endnote>
  <w:endnote w:type="continuationSeparator" w:id="0">
    <w:p w14:paraId="0B629700" w14:textId="77777777" w:rsidR="00F233CB" w:rsidRDefault="00F233CB" w:rsidP="0069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E0C1" w14:textId="77777777" w:rsidR="00F233CB" w:rsidRDefault="00F233CB" w:rsidP="00692D08">
      <w:r>
        <w:separator/>
      </w:r>
    </w:p>
  </w:footnote>
  <w:footnote w:type="continuationSeparator" w:id="0">
    <w:p w14:paraId="4EBF56EF" w14:textId="77777777" w:rsidR="00F233CB" w:rsidRDefault="00F233CB" w:rsidP="0069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68B"/>
    <w:multiLevelType w:val="hybridMultilevel"/>
    <w:tmpl w:val="AD46DA60"/>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07B67CFB"/>
    <w:multiLevelType w:val="hybridMultilevel"/>
    <w:tmpl w:val="AD46DA60"/>
    <w:lvl w:ilvl="0" w:tplc="F58A31F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EF51F93"/>
    <w:multiLevelType w:val="hybridMultilevel"/>
    <w:tmpl w:val="0DA6F8C8"/>
    <w:lvl w:ilvl="0" w:tplc="C75EFE08">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F95336"/>
    <w:multiLevelType w:val="hybridMultilevel"/>
    <w:tmpl w:val="99FAA9F2"/>
    <w:lvl w:ilvl="0" w:tplc="4E82524A">
      <w:start w:val="1"/>
      <w:numFmt w:val="decimalFullWidth"/>
      <w:lvlText w:val="（%1）"/>
      <w:lvlJc w:val="left"/>
      <w:pPr>
        <w:ind w:left="420" w:hanging="420"/>
      </w:pPr>
      <w:rPr>
        <w:rFonts w:ascii="ＭＳ 明朝" w:eastAsia="ＭＳ 明朝" w:hAnsi="ＭＳ 明朝" w:cs="Apple Color Emoj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2A6328"/>
    <w:multiLevelType w:val="hybridMultilevel"/>
    <w:tmpl w:val="17F2E17C"/>
    <w:lvl w:ilvl="0" w:tplc="535AF8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B82B0B"/>
    <w:multiLevelType w:val="hybridMultilevel"/>
    <w:tmpl w:val="108E8BB8"/>
    <w:lvl w:ilvl="0" w:tplc="F58A31F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printTwoOnOne/>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5B"/>
    <w:rsid w:val="00015952"/>
    <w:rsid w:val="0002716F"/>
    <w:rsid w:val="000347F5"/>
    <w:rsid w:val="00041B2A"/>
    <w:rsid w:val="00042C30"/>
    <w:rsid w:val="000461A7"/>
    <w:rsid w:val="00051518"/>
    <w:rsid w:val="00061279"/>
    <w:rsid w:val="000760D6"/>
    <w:rsid w:val="000768F9"/>
    <w:rsid w:val="000777D4"/>
    <w:rsid w:val="000806A2"/>
    <w:rsid w:val="000953DA"/>
    <w:rsid w:val="00115A5F"/>
    <w:rsid w:val="00130CF2"/>
    <w:rsid w:val="00132585"/>
    <w:rsid w:val="00135862"/>
    <w:rsid w:val="001431AD"/>
    <w:rsid w:val="00144250"/>
    <w:rsid w:val="00150B25"/>
    <w:rsid w:val="001671EE"/>
    <w:rsid w:val="0017060A"/>
    <w:rsid w:val="00181E05"/>
    <w:rsid w:val="001833A1"/>
    <w:rsid w:val="00184DCF"/>
    <w:rsid w:val="0019437F"/>
    <w:rsid w:val="001B3B1C"/>
    <w:rsid w:val="001C062C"/>
    <w:rsid w:val="001F5889"/>
    <w:rsid w:val="0020080C"/>
    <w:rsid w:val="00204013"/>
    <w:rsid w:val="002071A0"/>
    <w:rsid w:val="0021437B"/>
    <w:rsid w:val="002202B1"/>
    <w:rsid w:val="002315CD"/>
    <w:rsid w:val="002448AE"/>
    <w:rsid w:val="00252F11"/>
    <w:rsid w:val="00257B98"/>
    <w:rsid w:val="002609E8"/>
    <w:rsid w:val="00260E80"/>
    <w:rsid w:val="00264C30"/>
    <w:rsid w:val="00282E10"/>
    <w:rsid w:val="00283467"/>
    <w:rsid w:val="00297D75"/>
    <w:rsid w:val="002C347F"/>
    <w:rsid w:val="002C4E6A"/>
    <w:rsid w:val="002D3CEE"/>
    <w:rsid w:val="002D6166"/>
    <w:rsid w:val="002F2806"/>
    <w:rsid w:val="00332BFA"/>
    <w:rsid w:val="0034610E"/>
    <w:rsid w:val="003507E8"/>
    <w:rsid w:val="003751D7"/>
    <w:rsid w:val="00386060"/>
    <w:rsid w:val="00391363"/>
    <w:rsid w:val="00393463"/>
    <w:rsid w:val="00396C27"/>
    <w:rsid w:val="003A1064"/>
    <w:rsid w:val="003A4DEF"/>
    <w:rsid w:val="003B4CAC"/>
    <w:rsid w:val="003C1B3B"/>
    <w:rsid w:val="003C5FB4"/>
    <w:rsid w:val="003D2097"/>
    <w:rsid w:val="00401429"/>
    <w:rsid w:val="004250D5"/>
    <w:rsid w:val="0042730C"/>
    <w:rsid w:val="00431151"/>
    <w:rsid w:val="00435209"/>
    <w:rsid w:val="00446445"/>
    <w:rsid w:val="00457CCD"/>
    <w:rsid w:val="00470E4E"/>
    <w:rsid w:val="004903C3"/>
    <w:rsid w:val="00491B5D"/>
    <w:rsid w:val="0049239D"/>
    <w:rsid w:val="004A15D0"/>
    <w:rsid w:val="004A4D62"/>
    <w:rsid w:val="004B5DA6"/>
    <w:rsid w:val="004C766E"/>
    <w:rsid w:val="004D134B"/>
    <w:rsid w:val="004E087C"/>
    <w:rsid w:val="004F0765"/>
    <w:rsid w:val="004F1654"/>
    <w:rsid w:val="0050576F"/>
    <w:rsid w:val="005119DE"/>
    <w:rsid w:val="00521256"/>
    <w:rsid w:val="00523E15"/>
    <w:rsid w:val="005248F9"/>
    <w:rsid w:val="005440B5"/>
    <w:rsid w:val="00546901"/>
    <w:rsid w:val="0056001B"/>
    <w:rsid w:val="00562405"/>
    <w:rsid w:val="00575161"/>
    <w:rsid w:val="0057703C"/>
    <w:rsid w:val="0059136A"/>
    <w:rsid w:val="005A2721"/>
    <w:rsid w:val="005B17B6"/>
    <w:rsid w:val="005B2711"/>
    <w:rsid w:val="005C15AD"/>
    <w:rsid w:val="005C2B53"/>
    <w:rsid w:val="005C7008"/>
    <w:rsid w:val="005E52F0"/>
    <w:rsid w:val="005E775B"/>
    <w:rsid w:val="005F291C"/>
    <w:rsid w:val="005F42BB"/>
    <w:rsid w:val="005F6DF9"/>
    <w:rsid w:val="006174FA"/>
    <w:rsid w:val="006211E6"/>
    <w:rsid w:val="00622F78"/>
    <w:rsid w:val="00625EBC"/>
    <w:rsid w:val="00634A93"/>
    <w:rsid w:val="006350B8"/>
    <w:rsid w:val="00640DC2"/>
    <w:rsid w:val="0065745D"/>
    <w:rsid w:val="0066528B"/>
    <w:rsid w:val="00671B50"/>
    <w:rsid w:val="0068126C"/>
    <w:rsid w:val="00681D99"/>
    <w:rsid w:val="00692D08"/>
    <w:rsid w:val="006B5B69"/>
    <w:rsid w:val="006B6973"/>
    <w:rsid w:val="006C27D0"/>
    <w:rsid w:val="006C383B"/>
    <w:rsid w:val="006C3F4D"/>
    <w:rsid w:val="006D0BC3"/>
    <w:rsid w:val="006F0274"/>
    <w:rsid w:val="00701A04"/>
    <w:rsid w:val="007122A7"/>
    <w:rsid w:val="0072166E"/>
    <w:rsid w:val="0072691C"/>
    <w:rsid w:val="00760522"/>
    <w:rsid w:val="00762628"/>
    <w:rsid w:val="00767CAC"/>
    <w:rsid w:val="007745E1"/>
    <w:rsid w:val="00782855"/>
    <w:rsid w:val="00793E28"/>
    <w:rsid w:val="007A3B41"/>
    <w:rsid w:val="007C4164"/>
    <w:rsid w:val="007E278F"/>
    <w:rsid w:val="007E5A66"/>
    <w:rsid w:val="00813989"/>
    <w:rsid w:val="00817774"/>
    <w:rsid w:val="00817A18"/>
    <w:rsid w:val="00836207"/>
    <w:rsid w:val="00853403"/>
    <w:rsid w:val="008535E9"/>
    <w:rsid w:val="0085556E"/>
    <w:rsid w:val="00867FDF"/>
    <w:rsid w:val="0087485E"/>
    <w:rsid w:val="0088172B"/>
    <w:rsid w:val="00892D09"/>
    <w:rsid w:val="0089336C"/>
    <w:rsid w:val="008A2AD3"/>
    <w:rsid w:val="008B36FF"/>
    <w:rsid w:val="008B68AC"/>
    <w:rsid w:val="008C6109"/>
    <w:rsid w:val="008E53DE"/>
    <w:rsid w:val="008E5D04"/>
    <w:rsid w:val="008F484A"/>
    <w:rsid w:val="00903C4D"/>
    <w:rsid w:val="00907CDF"/>
    <w:rsid w:val="00925D1F"/>
    <w:rsid w:val="009261F9"/>
    <w:rsid w:val="00935202"/>
    <w:rsid w:val="00962DF4"/>
    <w:rsid w:val="009715C7"/>
    <w:rsid w:val="00973F29"/>
    <w:rsid w:val="00987BEF"/>
    <w:rsid w:val="009A12FF"/>
    <w:rsid w:val="009A4484"/>
    <w:rsid w:val="009B2906"/>
    <w:rsid w:val="009B758D"/>
    <w:rsid w:val="009B79E4"/>
    <w:rsid w:val="009C76CE"/>
    <w:rsid w:val="009D7148"/>
    <w:rsid w:val="009E575F"/>
    <w:rsid w:val="009E5EDB"/>
    <w:rsid w:val="009F2A12"/>
    <w:rsid w:val="00A00967"/>
    <w:rsid w:val="00A136F5"/>
    <w:rsid w:val="00A2068C"/>
    <w:rsid w:val="00A42F1A"/>
    <w:rsid w:val="00A45C6C"/>
    <w:rsid w:val="00A47D45"/>
    <w:rsid w:val="00A57839"/>
    <w:rsid w:val="00A651FE"/>
    <w:rsid w:val="00A81C97"/>
    <w:rsid w:val="00A90C04"/>
    <w:rsid w:val="00A90CFF"/>
    <w:rsid w:val="00A93371"/>
    <w:rsid w:val="00A94958"/>
    <w:rsid w:val="00AA7344"/>
    <w:rsid w:val="00AC7A2A"/>
    <w:rsid w:val="00AD3710"/>
    <w:rsid w:val="00AD49EF"/>
    <w:rsid w:val="00AE28A1"/>
    <w:rsid w:val="00AF474B"/>
    <w:rsid w:val="00B13B0D"/>
    <w:rsid w:val="00B149A0"/>
    <w:rsid w:val="00B22C46"/>
    <w:rsid w:val="00B2424B"/>
    <w:rsid w:val="00B24539"/>
    <w:rsid w:val="00B41F65"/>
    <w:rsid w:val="00B56369"/>
    <w:rsid w:val="00B70E5C"/>
    <w:rsid w:val="00B80C99"/>
    <w:rsid w:val="00B90B5B"/>
    <w:rsid w:val="00B91E1A"/>
    <w:rsid w:val="00B93C32"/>
    <w:rsid w:val="00BB4FB9"/>
    <w:rsid w:val="00BB5DCD"/>
    <w:rsid w:val="00BB78E5"/>
    <w:rsid w:val="00BC1016"/>
    <w:rsid w:val="00BD12C9"/>
    <w:rsid w:val="00BD2162"/>
    <w:rsid w:val="00BD227F"/>
    <w:rsid w:val="00BD650C"/>
    <w:rsid w:val="00BF0BF2"/>
    <w:rsid w:val="00BF2CDB"/>
    <w:rsid w:val="00BF5A3A"/>
    <w:rsid w:val="00C06735"/>
    <w:rsid w:val="00C23F0B"/>
    <w:rsid w:val="00C273F5"/>
    <w:rsid w:val="00C40090"/>
    <w:rsid w:val="00C565FB"/>
    <w:rsid w:val="00C61483"/>
    <w:rsid w:val="00C700C1"/>
    <w:rsid w:val="00C711F0"/>
    <w:rsid w:val="00C71655"/>
    <w:rsid w:val="00C919A8"/>
    <w:rsid w:val="00CD3804"/>
    <w:rsid w:val="00CE31C9"/>
    <w:rsid w:val="00D1759E"/>
    <w:rsid w:val="00D25E33"/>
    <w:rsid w:val="00D31F06"/>
    <w:rsid w:val="00D33EE8"/>
    <w:rsid w:val="00D415E1"/>
    <w:rsid w:val="00D607E4"/>
    <w:rsid w:val="00D769E2"/>
    <w:rsid w:val="00DA39F6"/>
    <w:rsid w:val="00DA4279"/>
    <w:rsid w:val="00DA7665"/>
    <w:rsid w:val="00DB2777"/>
    <w:rsid w:val="00DB2B22"/>
    <w:rsid w:val="00DC7FAC"/>
    <w:rsid w:val="00DE3F50"/>
    <w:rsid w:val="00E07006"/>
    <w:rsid w:val="00E421A4"/>
    <w:rsid w:val="00E55153"/>
    <w:rsid w:val="00E55953"/>
    <w:rsid w:val="00E63B4D"/>
    <w:rsid w:val="00E7120A"/>
    <w:rsid w:val="00E735F6"/>
    <w:rsid w:val="00E76692"/>
    <w:rsid w:val="00EC2690"/>
    <w:rsid w:val="00F0021D"/>
    <w:rsid w:val="00F16664"/>
    <w:rsid w:val="00F233CB"/>
    <w:rsid w:val="00F3681C"/>
    <w:rsid w:val="00F4161E"/>
    <w:rsid w:val="00F44D89"/>
    <w:rsid w:val="00F61949"/>
    <w:rsid w:val="00F6317D"/>
    <w:rsid w:val="00F663C5"/>
    <w:rsid w:val="00F85417"/>
    <w:rsid w:val="00FB05C9"/>
    <w:rsid w:val="00FB08B9"/>
    <w:rsid w:val="00FC1813"/>
    <w:rsid w:val="00FC7720"/>
    <w:rsid w:val="00FF7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C1E90B9"/>
  <w15:chartTrackingRefBased/>
  <w15:docId w15:val="{EF864372-5C0D-4009-89B0-7635D7F9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161"/>
    <w:pPr>
      <w:widowControl w:val="0"/>
      <w:jc w:val="both"/>
    </w:pPr>
    <w:rPr>
      <w:kern w:val="2"/>
      <w:sz w:val="21"/>
      <w:szCs w:val="24"/>
    </w:rPr>
  </w:style>
  <w:style w:type="paragraph" w:styleId="3">
    <w:name w:val="heading 3"/>
    <w:basedOn w:val="a"/>
    <w:next w:val="a"/>
    <w:link w:val="30"/>
    <w:semiHidden/>
    <w:unhideWhenUsed/>
    <w:qFormat/>
    <w:rsid w:val="0043520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2D08"/>
    <w:pPr>
      <w:tabs>
        <w:tab w:val="center" w:pos="4252"/>
        <w:tab w:val="right" w:pos="8504"/>
      </w:tabs>
      <w:snapToGrid w:val="0"/>
    </w:pPr>
  </w:style>
  <w:style w:type="character" w:customStyle="1" w:styleId="a4">
    <w:name w:val="ヘッダー (文字)"/>
    <w:link w:val="a3"/>
    <w:rsid w:val="00692D08"/>
    <w:rPr>
      <w:kern w:val="2"/>
      <w:sz w:val="21"/>
      <w:szCs w:val="24"/>
    </w:rPr>
  </w:style>
  <w:style w:type="paragraph" w:styleId="a5">
    <w:name w:val="footer"/>
    <w:basedOn w:val="a"/>
    <w:link w:val="a6"/>
    <w:rsid w:val="00692D08"/>
    <w:pPr>
      <w:tabs>
        <w:tab w:val="center" w:pos="4252"/>
        <w:tab w:val="right" w:pos="8504"/>
      </w:tabs>
      <w:snapToGrid w:val="0"/>
    </w:pPr>
  </w:style>
  <w:style w:type="character" w:customStyle="1" w:styleId="a6">
    <w:name w:val="フッター (文字)"/>
    <w:link w:val="a5"/>
    <w:rsid w:val="00692D08"/>
    <w:rPr>
      <w:kern w:val="2"/>
      <w:sz w:val="21"/>
      <w:szCs w:val="24"/>
    </w:rPr>
  </w:style>
  <w:style w:type="character" w:customStyle="1" w:styleId="30">
    <w:name w:val="見出し 3 (文字)"/>
    <w:basedOn w:val="a0"/>
    <w:link w:val="3"/>
    <w:semiHidden/>
    <w:rsid w:val="00435209"/>
    <w:rPr>
      <w:rFonts w:asciiTheme="majorHAnsi" w:eastAsiaTheme="majorEastAsia" w:hAnsiTheme="majorHAnsi" w:cstheme="majorBidi"/>
      <w:kern w:val="2"/>
      <w:sz w:val="21"/>
      <w:szCs w:val="24"/>
    </w:rPr>
  </w:style>
  <w:style w:type="paragraph" w:styleId="Web">
    <w:name w:val="Normal (Web)"/>
    <w:basedOn w:val="a"/>
    <w:uiPriority w:val="99"/>
    <w:unhideWhenUsed/>
    <w:rsid w:val="0057516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14169">
      <w:bodyDiv w:val="1"/>
      <w:marLeft w:val="0"/>
      <w:marRight w:val="0"/>
      <w:marTop w:val="0"/>
      <w:marBottom w:val="0"/>
      <w:divBdr>
        <w:top w:val="none" w:sz="0" w:space="0" w:color="auto"/>
        <w:left w:val="none" w:sz="0" w:space="0" w:color="auto"/>
        <w:bottom w:val="none" w:sz="0" w:space="0" w:color="auto"/>
        <w:right w:val="none" w:sz="0" w:space="0" w:color="auto"/>
      </w:divBdr>
    </w:div>
    <w:div w:id="724177958">
      <w:bodyDiv w:val="1"/>
      <w:marLeft w:val="0"/>
      <w:marRight w:val="0"/>
      <w:marTop w:val="0"/>
      <w:marBottom w:val="0"/>
      <w:divBdr>
        <w:top w:val="none" w:sz="0" w:space="0" w:color="auto"/>
        <w:left w:val="none" w:sz="0" w:space="0" w:color="auto"/>
        <w:bottom w:val="none" w:sz="0" w:space="0" w:color="auto"/>
        <w:right w:val="none" w:sz="0" w:space="0" w:color="auto"/>
      </w:divBdr>
    </w:div>
    <w:div w:id="1027218884">
      <w:bodyDiv w:val="1"/>
      <w:marLeft w:val="0"/>
      <w:marRight w:val="0"/>
      <w:marTop w:val="0"/>
      <w:marBottom w:val="0"/>
      <w:divBdr>
        <w:top w:val="none" w:sz="0" w:space="0" w:color="auto"/>
        <w:left w:val="none" w:sz="0" w:space="0" w:color="auto"/>
        <w:bottom w:val="none" w:sz="0" w:space="0" w:color="auto"/>
        <w:right w:val="none" w:sz="0" w:space="0" w:color="auto"/>
      </w:divBdr>
    </w:div>
    <w:div w:id="1087457888">
      <w:bodyDiv w:val="1"/>
      <w:marLeft w:val="0"/>
      <w:marRight w:val="0"/>
      <w:marTop w:val="0"/>
      <w:marBottom w:val="0"/>
      <w:divBdr>
        <w:top w:val="none" w:sz="0" w:space="0" w:color="auto"/>
        <w:left w:val="none" w:sz="0" w:space="0" w:color="auto"/>
        <w:bottom w:val="none" w:sz="0" w:space="0" w:color="auto"/>
        <w:right w:val="none" w:sz="0" w:space="0" w:color="auto"/>
      </w:divBdr>
    </w:div>
    <w:div w:id="1178420203">
      <w:bodyDiv w:val="1"/>
      <w:marLeft w:val="0"/>
      <w:marRight w:val="0"/>
      <w:marTop w:val="0"/>
      <w:marBottom w:val="0"/>
      <w:divBdr>
        <w:top w:val="none" w:sz="0" w:space="0" w:color="auto"/>
        <w:left w:val="none" w:sz="0" w:space="0" w:color="auto"/>
        <w:bottom w:val="none" w:sz="0" w:space="0" w:color="auto"/>
        <w:right w:val="none" w:sz="0" w:space="0" w:color="auto"/>
      </w:divBdr>
    </w:div>
    <w:div w:id="12986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52650BF7AA4E448234F024445FC486" ma:contentTypeVersion="0" ma:contentTypeDescription="新しいドキュメントを作成します。" ma:contentTypeScope="" ma:versionID="67e65eb869ee1b0ed4eebcd90d7c822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B5949-D818-4AA3-8919-496384E98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4E10FF-7C04-4BB0-BB9F-DE09C22998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735C83-1852-44B2-9404-48EC461E4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3</Pages>
  <Words>265</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再評価調書変更（案）</vt:lpstr>
      <vt:lpstr>再評価調書変更（案）</vt:lpstr>
    </vt:vector>
  </TitlesOfParts>
  <Company>大阪府</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再評価調書変更（案）</dc:title>
  <dc:subject/>
  <dc:creator>職員端末機20年度12月調達</dc:creator>
  <cp:keywords/>
  <dc:description/>
  <cp:lastModifiedBy>松坂　尚美</cp:lastModifiedBy>
  <cp:revision>32</cp:revision>
  <cp:lastPrinted>2025-01-17T10:21:00Z</cp:lastPrinted>
  <dcterms:created xsi:type="dcterms:W3CDTF">2023-12-07T03:35:00Z</dcterms:created>
  <dcterms:modified xsi:type="dcterms:W3CDTF">2025-02-05T01:14:00Z</dcterms:modified>
</cp:coreProperties>
</file>