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EA" w:rsidRPr="001C2594" w:rsidRDefault="001B362C" w:rsidP="00380223">
      <w:pPr>
        <w:spacing w:line="320" w:lineRule="exact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1C2594">
        <w:rPr>
          <w:rFonts w:asciiTheme="majorEastAsia" w:eastAsiaTheme="majorEastAsia" w:hAnsiTheme="majorEastAsia" w:hint="eastAsia"/>
          <w:b/>
          <w:sz w:val="28"/>
          <w:szCs w:val="28"/>
        </w:rPr>
        <w:t>国民健康保険制度の見直し（</w:t>
      </w:r>
      <w:r w:rsidR="0062291C">
        <w:rPr>
          <w:rFonts w:asciiTheme="majorEastAsia" w:eastAsiaTheme="majorEastAsia" w:hAnsiTheme="majorEastAsia" w:hint="eastAsia"/>
          <w:b/>
          <w:sz w:val="28"/>
          <w:szCs w:val="28"/>
        </w:rPr>
        <w:t>改正法案</w:t>
      </w:r>
      <w:r w:rsidRPr="001C259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5411EA" w:rsidRPr="001C2594">
        <w:rPr>
          <w:rFonts w:asciiTheme="majorEastAsia" w:eastAsiaTheme="majorEastAsia" w:hAnsiTheme="majorEastAsia" w:hint="eastAsia"/>
          <w:b/>
          <w:sz w:val="28"/>
          <w:szCs w:val="28"/>
        </w:rPr>
        <w:t>ポイント</w:t>
      </w:r>
    </w:p>
    <w:p w:rsidR="005411EA" w:rsidRPr="005411EA" w:rsidRDefault="005411EA" w:rsidP="003A1C86">
      <w:pPr>
        <w:spacing w:line="320" w:lineRule="exact"/>
        <w:ind w:firstLineChars="100" w:firstLine="221"/>
        <w:jc w:val="center"/>
        <w:rPr>
          <w:rFonts w:asciiTheme="majorEastAsia" w:eastAsiaTheme="majorEastAsia" w:hAnsiTheme="majorEastAsia"/>
          <w:b/>
          <w:sz w:val="22"/>
        </w:rPr>
      </w:pPr>
      <w:r w:rsidRPr="005411EA">
        <w:rPr>
          <w:rFonts w:asciiTheme="majorEastAsia" w:eastAsiaTheme="majorEastAsia" w:hAnsiTheme="majorEastAsia" w:hint="eastAsia"/>
          <w:b/>
          <w:sz w:val="22"/>
        </w:rPr>
        <w:t>（平成</w:t>
      </w:r>
      <w:r w:rsidR="001B362C">
        <w:rPr>
          <w:rFonts w:asciiTheme="majorEastAsia" w:eastAsiaTheme="majorEastAsia" w:hAnsiTheme="majorEastAsia" w:hint="eastAsia"/>
          <w:b/>
          <w:sz w:val="22"/>
        </w:rPr>
        <w:t>２７</w:t>
      </w:r>
      <w:r w:rsidRPr="005411EA">
        <w:rPr>
          <w:rFonts w:asciiTheme="majorEastAsia" w:eastAsiaTheme="majorEastAsia" w:hAnsiTheme="majorEastAsia" w:hint="eastAsia"/>
          <w:b/>
          <w:sz w:val="22"/>
        </w:rPr>
        <w:t>年</w:t>
      </w:r>
      <w:r w:rsidR="0062291C">
        <w:rPr>
          <w:rFonts w:asciiTheme="majorEastAsia" w:eastAsiaTheme="majorEastAsia" w:hAnsiTheme="majorEastAsia" w:hint="eastAsia"/>
          <w:b/>
          <w:sz w:val="22"/>
        </w:rPr>
        <w:t>３</w:t>
      </w:r>
      <w:r w:rsidRPr="005411EA">
        <w:rPr>
          <w:rFonts w:asciiTheme="majorEastAsia" w:eastAsiaTheme="majorEastAsia" w:hAnsiTheme="majorEastAsia" w:hint="eastAsia"/>
          <w:b/>
          <w:sz w:val="22"/>
        </w:rPr>
        <w:t>月</w:t>
      </w:r>
      <w:r w:rsidR="0062291C">
        <w:rPr>
          <w:rFonts w:asciiTheme="majorEastAsia" w:eastAsiaTheme="majorEastAsia" w:hAnsiTheme="majorEastAsia" w:hint="eastAsia"/>
          <w:b/>
          <w:sz w:val="22"/>
        </w:rPr>
        <w:t>３</w:t>
      </w:r>
      <w:r w:rsidRPr="005411EA">
        <w:rPr>
          <w:rFonts w:asciiTheme="majorEastAsia" w:eastAsiaTheme="majorEastAsia" w:hAnsiTheme="majorEastAsia" w:hint="eastAsia"/>
          <w:b/>
          <w:sz w:val="22"/>
        </w:rPr>
        <w:t xml:space="preserve">日　</w:t>
      </w:r>
      <w:r w:rsidR="0062291C">
        <w:rPr>
          <w:rFonts w:asciiTheme="majorEastAsia" w:eastAsiaTheme="majorEastAsia" w:hAnsiTheme="majorEastAsia" w:hint="eastAsia"/>
          <w:b/>
          <w:sz w:val="22"/>
        </w:rPr>
        <w:t>閣議決定</w:t>
      </w:r>
      <w:r w:rsidRPr="005411EA">
        <w:rPr>
          <w:rFonts w:asciiTheme="majorEastAsia" w:eastAsiaTheme="majorEastAsia" w:hAnsiTheme="majorEastAsia" w:hint="eastAsia"/>
          <w:b/>
          <w:sz w:val="22"/>
        </w:rPr>
        <w:t>）</w:t>
      </w:r>
    </w:p>
    <w:p w:rsidR="001C2594" w:rsidRDefault="001C2594" w:rsidP="000950A5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  <w:u w:val="single"/>
        </w:rPr>
      </w:pPr>
    </w:p>
    <w:p w:rsidR="005411EA" w:rsidRPr="001C2594" w:rsidRDefault="001B362C" w:rsidP="005411EA">
      <w:pPr>
        <w:rPr>
          <w:rFonts w:asciiTheme="majorEastAsia" w:eastAsiaTheme="majorEastAsia" w:hAnsiTheme="majorEastAsia"/>
          <w:b/>
          <w:color w:val="FFFFFF" w:themeColor="background1"/>
          <w:sz w:val="22"/>
          <w:bdr w:val="single" w:sz="4" w:space="0" w:color="auto"/>
        </w:rPr>
      </w:pPr>
      <w:r w:rsidRPr="001C2594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ue"/>
          <w:bdr w:val="single" w:sz="4" w:space="0" w:color="auto"/>
        </w:rPr>
        <w:t>公費拡充等による財政基盤の強化</w:t>
      </w:r>
    </w:p>
    <w:p w:rsidR="00B275DF" w:rsidRDefault="00B275DF" w:rsidP="00B275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毎年約3,400億円の財政支援の拡充等を実施。</w:t>
      </w:r>
    </w:p>
    <w:p w:rsidR="00B275DF" w:rsidRDefault="00B275DF" w:rsidP="00B275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具体的には、</w:t>
      </w:r>
    </w:p>
    <w:p w:rsidR="00132521" w:rsidRDefault="00B275DF" w:rsidP="00B275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5411EA" w:rsidRPr="005411EA">
        <w:rPr>
          <w:rFonts w:asciiTheme="majorEastAsia" w:eastAsiaTheme="majorEastAsia" w:hAnsiTheme="majorEastAsia" w:hint="eastAsia"/>
          <w:sz w:val="22"/>
        </w:rPr>
        <w:t xml:space="preserve">　平成27年度から保険者支援制度の拡充(</w:t>
      </w:r>
      <w:r>
        <w:rPr>
          <w:rFonts w:asciiTheme="majorEastAsia" w:eastAsiaTheme="majorEastAsia" w:hAnsiTheme="majorEastAsia" w:hint="eastAsia"/>
          <w:sz w:val="22"/>
        </w:rPr>
        <w:t>約1,700</w:t>
      </w:r>
      <w:r w:rsidR="005411EA" w:rsidRPr="005411EA">
        <w:rPr>
          <w:rFonts w:asciiTheme="majorEastAsia" w:eastAsiaTheme="majorEastAsia" w:hAnsiTheme="majorEastAsia" w:hint="eastAsia"/>
          <w:sz w:val="22"/>
        </w:rPr>
        <w:t>億円)を実施</w:t>
      </w:r>
      <w:r w:rsidR="005411EA">
        <w:rPr>
          <w:rFonts w:asciiTheme="majorEastAsia" w:eastAsiaTheme="majorEastAsia" w:hAnsiTheme="majorEastAsia" w:hint="eastAsia"/>
          <w:sz w:val="22"/>
        </w:rPr>
        <w:t>。</w:t>
      </w:r>
    </w:p>
    <w:p w:rsidR="005411EA" w:rsidRPr="0062291C" w:rsidRDefault="000254E5" w:rsidP="00132521">
      <w:pPr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2291C">
        <w:rPr>
          <w:rFonts w:asciiTheme="minorEastAsia" w:eastAsiaTheme="minorEastAsia" w:hAnsiTheme="minorEastAsia" w:hint="eastAsia"/>
          <w:sz w:val="18"/>
          <w:szCs w:val="18"/>
        </w:rPr>
        <w:t>【72条の4</w:t>
      </w:r>
      <w:r w:rsidR="00132521" w:rsidRPr="0062291C">
        <w:rPr>
          <w:rFonts w:asciiTheme="minorEastAsia" w:eastAsiaTheme="minorEastAsia" w:hAnsiTheme="minorEastAsia" w:hint="eastAsia"/>
          <w:sz w:val="18"/>
          <w:szCs w:val="18"/>
        </w:rPr>
        <w:t>（改正なし、詳細は政令等）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B275DF" w:rsidRDefault="00B275DF" w:rsidP="00B35E58">
      <w:pPr>
        <w:spacing w:line="30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="005411EA" w:rsidRPr="005411EA">
        <w:rPr>
          <w:rFonts w:asciiTheme="majorEastAsia" w:eastAsiaTheme="majorEastAsia" w:hAnsiTheme="majorEastAsia" w:hint="eastAsia"/>
          <w:sz w:val="22"/>
        </w:rPr>
        <w:t>更なる公費の投入を平成27年度から</w:t>
      </w:r>
      <w:r w:rsidR="005411EA">
        <w:rPr>
          <w:rFonts w:asciiTheme="majorEastAsia" w:eastAsiaTheme="majorEastAsia" w:hAnsiTheme="majorEastAsia" w:hint="eastAsia"/>
          <w:sz w:val="22"/>
        </w:rPr>
        <w:t>行い、</w:t>
      </w:r>
      <w:r w:rsidR="005411EA" w:rsidRPr="005411EA">
        <w:rPr>
          <w:rFonts w:asciiTheme="majorEastAsia" w:eastAsiaTheme="majorEastAsia" w:hAnsiTheme="majorEastAsia" w:hint="eastAsia"/>
          <w:sz w:val="22"/>
        </w:rPr>
        <w:t>平成29年度には、</w:t>
      </w:r>
      <w:r>
        <w:rPr>
          <w:rFonts w:asciiTheme="majorEastAsia" w:eastAsiaTheme="majorEastAsia" w:hAnsiTheme="majorEastAsia" w:hint="eastAsia"/>
          <w:sz w:val="22"/>
        </w:rPr>
        <w:t>毎年</w:t>
      </w:r>
      <w:r w:rsidR="005411EA" w:rsidRPr="005411EA">
        <w:rPr>
          <w:rFonts w:asciiTheme="majorEastAsia" w:eastAsiaTheme="majorEastAsia" w:hAnsiTheme="majorEastAsia" w:hint="eastAsia"/>
          <w:sz w:val="22"/>
        </w:rPr>
        <w:t>約1700億円を投入</w:t>
      </w:r>
      <w:r w:rsidR="005411EA">
        <w:rPr>
          <w:rFonts w:asciiTheme="majorEastAsia" w:eastAsiaTheme="majorEastAsia" w:hAnsiTheme="majorEastAsia" w:hint="eastAsia"/>
          <w:sz w:val="22"/>
        </w:rPr>
        <w:t>。</w:t>
      </w:r>
    </w:p>
    <w:p w:rsidR="005870B0" w:rsidRDefault="00CC01B8" w:rsidP="00B35E58">
      <w:pPr>
        <w:spacing w:line="30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1C2594">
        <w:rPr>
          <w:rFonts w:asciiTheme="minorEastAsia" w:eastAsiaTheme="minorEastAsia" w:hAnsiTheme="minorEastAsia" w:hint="eastAsia"/>
          <w:sz w:val="18"/>
          <w:szCs w:val="18"/>
        </w:rPr>
        <w:t>①</w:t>
      </w:r>
      <w:r w:rsidR="005411EA" w:rsidRPr="001C2594">
        <w:rPr>
          <w:rFonts w:asciiTheme="minorEastAsia" w:eastAsiaTheme="minorEastAsia" w:hAnsiTheme="minorEastAsia" w:hint="eastAsia"/>
          <w:sz w:val="18"/>
          <w:szCs w:val="18"/>
        </w:rPr>
        <w:t>自治体の責めによらない要因による医療費増</w:t>
      </w:r>
      <w:r w:rsidRPr="001C2594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5411EA" w:rsidRPr="001C2594">
        <w:rPr>
          <w:rFonts w:asciiTheme="minorEastAsia" w:eastAsiaTheme="minorEastAsia" w:hAnsiTheme="minorEastAsia" w:hint="eastAsia"/>
          <w:sz w:val="18"/>
          <w:szCs w:val="18"/>
        </w:rPr>
        <w:t>への</w:t>
      </w:r>
      <w:r w:rsidR="00B275DF" w:rsidRPr="001C2594">
        <w:rPr>
          <w:rFonts w:asciiTheme="minorEastAsia" w:eastAsiaTheme="minorEastAsia" w:hAnsiTheme="minorEastAsia" w:hint="eastAsia"/>
          <w:sz w:val="18"/>
          <w:szCs w:val="18"/>
        </w:rPr>
        <w:t>財政支援の強化</w:t>
      </w:r>
      <w:r w:rsidR="003431CA" w:rsidRPr="001C2594">
        <w:rPr>
          <w:rFonts w:asciiTheme="minorEastAsia" w:eastAsiaTheme="minorEastAsia" w:hAnsiTheme="minorEastAsia" w:hint="eastAsia"/>
          <w:sz w:val="18"/>
          <w:szCs w:val="18"/>
        </w:rPr>
        <w:t>（国調整交付金の拡充</w:t>
      </w:r>
      <w:r w:rsidR="00B275DF" w:rsidRPr="001C2594">
        <w:rPr>
          <w:rFonts w:asciiTheme="minorEastAsia" w:eastAsiaTheme="minorEastAsia" w:hAnsiTheme="minorEastAsia" w:hint="eastAsia"/>
          <w:sz w:val="18"/>
          <w:szCs w:val="18"/>
        </w:rPr>
        <w:t>700～800億円規模</w:t>
      </w:r>
      <w:r w:rsidR="003431CA" w:rsidRPr="001C259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0254E5" w:rsidRPr="0062291C" w:rsidRDefault="000254E5" w:rsidP="00B35E58">
      <w:pPr>
        <w:spacing w:line="300" w:lineRule="exact"/>
        <w:ind w:firstLineChars="300" w:firstLine="5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2291C">
        <w:rPr>
          <w:rFonts w:asciiTheme="minorEastAsia" w:eastAsiaTheme="minorEastAsia" w:hAnsiTheme="minorEastAsia" w:hint="eastAsia"/>
          <w:sz w:val="18"/>
          <w:szCs w:val="18"/>
        </w:rPr>
        <w:t>【7</w:t>
      </w:r>
      <w:r w:rsidR="00774044" w:rsidRPr="0062291C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条1・2項、附則24条</w:t>
      </w:r>
      <w:r w:rsidR="00132521" w:rsidRPr="0062291C">
        <w:rPr>
          <w:rFonts w:asciiTheme="minorEastAsia" w:eastAsiaTheme="minorEastAsia" w:hAnsiTheme="minorEastAsia" w:hint="eastAsia"/>
          <w:sz w:val="18"/>
          <w:szCs w:val="18"/>
        </w:rPr>
        <w:t>（詳細は政令等）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5870B0" w:rsidRDefault="00CC01B8" w:rsidP="00B35E58">
      <w:pPr>
        <w:pStyle w:val="a3"/>
        <w:spacing w:line="300" w:lineRule="exact"/>
        <w:ind w:leftChars="0" w:left="540"/>
        <w:rPr>
          <w:rFonts w:asciiTheme="minorEastAsia" w:eastAsiaTheme="minorEastAsia" w:hAnsiTheme="minorEastAsia"/>
          <w:sz w:val="18"/>
          <w:szCs w:val="18"/>
        </w:rPr>
      </w:pPr>
      <w:r w:rsidRPr="001C2594">
        <w:rPr>
          <w:rFonts w:asciiTheme="minorEastAsia" w:eastAsiaTheme="minorEastAsia" w:hAnsiTheme="minorEastAsia" w:hint="eastAsia"/>
          <w:sz w:val="18"/>
          <w:szCs w:val="18"/>
        </w:rPr>
        <w:t>②</w:t>
      </w:r>
      <w:r w:rsidR="005411EA" w:rsidRPr="001C2594">
        <w:rPr>
          <w:rFonts w:asciiTheme="minorEastAsia" w:eastAsiaTheme="minorEastAsia" w:hAnsiTheme="minorEastAsia" w:hint="eastAsia"/>
          <w:sz w:val="18"/>
          <w:szCs w:val="18"/>
        </w:rPr>
        <w:t>医療費の適正化に向けた取組等に対する</w:t>
      </w:r>
      <w:r w:rsidRPr="001C2594">
        <w:rPr>
          <w:rFonts w:asciiTheme="minorEastAsia" w:eastAsiaTheme="minorEastAsia" w:hAnsiTheme="minorEastAsia" w:hint="eastAsia"/>
          <w:sz w:val="18"/>
          <w:szCs w:val="18"/>
        </w:rPr>
        <w:t>財政</w:t>
      </w:r>
      <w:r w:rsidR="005411EA" w:rsidRPr="001C2594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Pr="001C2594">
        <w:rPr>
          <w:rFonts w:asciiTheme="minorEastAsia" w:eastAsiaTheme="minorEastAsia" w:hAnsiTheme="minorEastAsia" w:hint="eastAsia"/>
          <w:sz w:val="18"/>
          <w:szCs w:val="18"/>
        </w:rPr>
        <w:t>の創設</w:t>
      </w:r>
      <w:r w:rsidR="003431CA" w:rsidRPr="001C2594">
        <w:rPr>
          <w:rFonts w:asciiTheme="minorEastAsia" w:eastAsiaTheme="minorEastAsia" w:hAnsiTheme="minorEastAsia" w:hint="eastAsia"/>
          <w:sz w:val="18"/>
          <w:szCs w:val="18"/>
        </w:rPr>
        <w:t>（保険者努力支援制度の創設</w:t>
      </w:r>
      <w:r w:rsidRPr="001C2594">
        <w:rPr>
          <w:rFonts w:asciiTheme="minorEastAsia" w:eastAsiaTheme="minorEastAsia" w:hAnsiTheme="minorEastAsia" w:hint="eastAsia"/>
          <w:sz w:val="18"/>
          <w:szCs w:val="18"/>
        </w:rPr>
        <w:t>700～800億円規模</w:t>
      </w:r>
      <w:r w:rsidR="003431CA" w:rsidRPr="001C259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0254E5" w:rsidRPr="0062291C" w:rsidRDefault="000254E5" w:rsidP="00B35E58">
      <w:pPr>
        <w:pStyle w:val="a3"/>
        <w:spacing w:line="300" w:lineRule="exact"/>
        <w:ind w:leftChars="0" w:left="5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2291C">
        <w:rPr>
          <w:rFonts w:asciiTheme="minorEastAsia" w:eastAsiaTheme="minorEastAsia" w:hAnsiTheme="minorEastAsia" w:hint="eastAsia"/>
          <w:sz w:val="18"/>
          <w:szCs w:val="18"/>
        </w:rPr>
        <w:t>【7</w:t>
      </w:r>
      <w:r w:rsidR="00774044" w:rsidRPr="0062291C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条3項</w:t>
      </w:r>
      <w:r w:rsidR="00132521" w:rsidRPr="0062291C">
        <w:rPr>
          <w:rFonts w:asciiTheme="minorEastAsia" w:eastAsiaTheme="minorEastAsia" w:hAnsiTheme="minorEastAsia" w:hint="eastAsia"/>
          <w:sz w:val="18"/>
          <w:szCs w:val="18"/>
        </w:rPr>
        <w:t>（詳細は政令等）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0254E5" w:rsidRPr="0062291C" w:rsidRDefault="00CC01B8" w:rsidP="00B35E58">
      <w:pPr>
        <w:spacing w:line="30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1C2594">
        <w:rPr>
          <w:rFonts w:asciiTheme="minorEastAsia" w:eastAsiaTheme="minorEastAsia" w:hAnsiTheme="minorEastAsia" w:hint="eastAsia"/>
          <w:sz w:val="18"/>
          <w:szCs w:val="18"/>
        </w:rPr>
        <w:t>③</w:t>
      </w:r>
      <w:r w:rsidR="005411EA" w:rsidRPr="001C2594">
        <w:rPr>
          <w:rFonts w:asciiTheme="minorEastAsia" w:eastAsiaTheme="minorEastAsia" w:hAnsiTheme="minorEastAsia" w:hint="eastAsia"/>
          <w:sz w:val="18"/>
          <w:szCs w:val="18"/>
        </w:rPr>
        <w:t>財政安定化基金</w:t>
      </w:r>
      <w:r w:rsidRPr="001C2594">
        <w:rPr>
          <w:rFonts w:asciiTheme="minorEastAsia" w:eastAsiaTheme="minorEastAsia" w:hAnsiTheme="minorEastAsia" w:hint="eastAsia"/>
          <w:sz w:val="18"/>
          <w:szCs w:val="18"/>
        </w:rPr>
        <w:t>の創設（平成27年度約200億円、最終2,000億円規模）</w:t>
      </w:r>
      <w:r w:rsidR="000254E5" w:rsidRPr="0062291C">
        <w:rPr>
          <w:rFonts w:asciiTheme="minorEastAsia" w:eastAsiaTheme="minorEastAsia" w:hAnsiTheme="minorEastAsia" w:hint="eastAsia"/>
          <w:sz w:val="18"/>
          <w:szCs w:val="18"/>
        </w:rPr>
        <w:t>【81条の2、附則25条</w:t>
      </w:r>
      <w:r w:rsidR="00132521" w:rsidRPr="0062291C">
        <w:rPr>
          <w:rFonts w:asciiTheme="minorEastAsia" w:eastAsiaTheme="minorEastAsia" w:hAnsiTheme="minorEastAsia" w:hint="eastAsia"/>
          <w:sz w:val="18"/>
          <w:szCs w:val="18"/>
        </w:rPr>
        <w:t>（詳細は政令等）</w:t>
      </w:r>
      <w:r w:rsidR="000254E5"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1B362C" w:rsidRDefault="00B275DF" w:rsidP="000950A5">
      <w:pPr>
        <w:spacing w:line="2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C01B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</w:t>
      </w:r>
    </w:p>
    <w:p w:rsidR="005411EA" w:rsidRPr="001C2594" w:rsidRDefault="001B362C" w:rsidP="00B35E58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 w:val="22"/>
          <w:bdr w:val="single" w:sz="4" w:space="0" w:color="auto"/>
        </w:rPr>
      </w:pPr>
      <w:r w:rsidRPr="001C2594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ue"/>
          <w:bdr w:val="single" w:sz="4" w:space="0" w:color="auto"/>
        </w:rPr>
        <w:t>運営の在り方の見直し（保険者機能の強化）</w:t>
      </w:r>
    </w:p>
    <w:p w:rsidR="005411EA" w:rsidRDefault="005411EA" w:rsidP="00B35E58">
      <w:pPr>
        <w:spacing w:line="30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Pr="005411EA">
        <w:rPr>
          <w:rFonts w:asciiTheme="majorEastAsia" w:eastAsiaTheme="majorEastAsia" w:hAnsiTheme="majorEastAsia" w:hint="eastAsia"/>
          <w:sz w:val="22"/>
        </w:rPr>
        <w:t>平成30年度から、都道府県が</w:t>
      </w:r>
      <w:r w:rsidR="00B662C8">
        <w:rPr>
          <w:rFonts w:asciiTheme="majorEastAsia" w:eastAsiaTheme="majorEastAsia" w:hAnsiTheme="majorEastAsia" w:hint="eastAsia"/>
          <w:sz w:val="22"/>
        </w:rPr>
        <w:t>市町村とともに国保を運営。</w:t>
      </w:r>
      <w:r w:rsidR="00B662C8" w:rsidRPr="001C2594">
        <w:rPr>
          <w:rFonts w:asciiTheme="minorEastAsia" w:eastAsiaTheme="minorEastAsia" w:hAnsiTheme="minorEastAsia" w:hint="eastAsia"/>
          <w:sz w:val="22"/>
        </w:rPr>
        <w:t>その上で</w:t>
      </w:r>
      <w:r w:rsidR="00B662C8">
        <w:rPr>
          <w:rFonts w:asciiTheme="majorEastAsia" w:eastAsiaTheme="majorEastAsia" w:hAnsiTheme="majorEastAsia" w:hint="eastAsia"/>
          <w:sz w:val="22"/>
        </w:rPr>
        <w:t>都道府県が</w:t>
      </w:r>
      <w:r w:rsidRPr="005411EA">
        <w:rPr>
          <w:rFonts w:asciiTheme="majorEastAsia" w:eastAsiaTheme="majorEastAsia" w:hAnsiTheme="majorEastAsia" w:hint="eastAsia"/>
          <w:sz w:val="22"/>
        </w:rPr>
        <w:t>財政運営の責任主体</w:t>
      </w:r>
      <w:r w:rsidRPr="001C2594">
        <w:rPr>
          <w:rFonts w:asciiTheme="minorEastAsia" w:eastAsiaTheme="minorEastAsia" w:hAnsiTheme="minorEastAsia" w:hint="eastAsia"/>
          <w:sz w:val="22"/>
        </w:rPr>
        <w:t>となり、安定的な財政運営や効率的な事業運営の確保等国保運営</w:t>
      </w:r>
      <w:r w:rsidR="00B662C8" w:rsidRPr="001C2594">
        <w:rPr>
          <w:rFonts w:asciiTheme="minorEastAsia" w:eastAsiaTheme="minorEastAsia" w:hAnsiTheme="minorEastAsia" w:hint="eastAsia"/>
          <w:sz w:val="22"/>
        </w:rPr>
        <w:t>の</w:t>
      </w:r>
      <w:r w:rsidRPr="001C2594">
        <w:rPr>
          <w:rFonts w:asciiTheme="minorEastAsia" w:eastAsiaTheme="minorEastAsia" w:hAnsiTheme="minorEastAsia" w:hint="eastAsia"/>
          <w:sz w:val="22"/>
        </w:rPr>
        <w:t>中心的な役割を担う</w:t>
      </w:r>
      <w:r w:rsidR="00E6203B" w:rsidRPr="001C2594">
        <w:rPr>
          <w:rFonts w:asciiTheme="minorEastAsia" w:eastAsiaTheme="minorEastAsia" w:hAnsiTheme="minorEastAsia" w:hint="eastAsia"/>
          <w:sz w:val="22"/>
        </w:rPr>
        <w:t>。</w:t>
      </w:r>
    </w:p>
    <w:p w:rsidR="000254E5" w:rsidRPr="0062291C" w:rsidRDefault="000254E5" w:rsidP="0062291C">
      <w:pPr>
        <w:spacing w:line="300" w:lineRule="exact"/>
        <w:ind w:left="180" w:hangingChars="100" w:hanging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2291C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D32D05">
        <w:rPr>
          <w:rFonts w:asciiTheme="minorEastAsia" w:eastAsiaTheme="minorEastAsia" w:hAnsiTheme="minorEastAsia" w:hint="eastAsia"/>
          <w:sz w:val="18"/>
          <w:szCs w:val="18"/>
        </w:rPr>
        <w:t>3条1項、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4条2項】</w:t>
      </w:r>
    </w:p>
    <w:p w:rsidR="005870B0" w:rsidRDefault="005870B0" w:rsidP="00B35E5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="00B662C8">
        <w:rPr>
          <w:rFonts w:asciiTheme="majorEastAsia" w:eastAsiaTheme="majorEastAsia" w:hAnsiTheme="majorEastAsia" w:hint="eastAsia"/>
          <w:sz w:val="22"/>
        </w:rPr>
        <w:t>都道府県は、</w:t>
      </w:r>
    </w:p>
    <w:p w:rsidR="000254E5" w:rsidRPr="0062291C" w:rsidRDefault="00B662C8" w:rsidP="0062291C">
      <w:pPr>
        <w:spacing w:line="300" w:lineRule="exact"/>
        <w:ind w:firstLineChars="100" w:firstLine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="005411EA">
        <w:rPr>
          <w:rFonts w:asciiTheme="majorEastAsia" w:eastAsiaTheme="majorEastAsia" w:hAnsiTheme="majorEastAsia" w:hint="eastAsia"/>
          <w:sz w:val="22"/>
        </w:rPr>
        <w:t>都道府県内の統一的な国保の運営方針を</w:t>
      </w:r>
      <w:r w:rsidR="005870B0">
        <w:rPr>
          <w:rFonts w:asciiTheme="majorEastAsia" w:eastAsiaTheme="majorEastAsia" w:hAnsiTheme="majorEastAsia" w:hint="eastAsia"/>
          <w:sz w:val="22"/>
        </w:rPr>
        <w:t>策定</w:t>
      </w:r>
      <w:r w:rsidRPr="001C2594">
        <w:rPr>
          <w:rFonts w:asciiTheme="minorEastAsia" w:eastAsiaTheme="minorEastAsia" w:hAnsiTheme="minorEastAsia" w:hint="eastAsia"/>
          <w:sz w:val="22"/>
        </w:rPr>
        <w:t>し、市町村事務の効率化等を推進</w:t>
      </w:r>
      <w:r w:rsidR="00E6203B" w:rsidRPr="001C2594">
        <w:rPr>
          <w:rFonts w:asciiTheme="minorEastAsia" w:eastAsiaTheme="minorEastAsia" w:hAnsiTheme="minorEastAsia" w:hint="eastAsia"/>
          <w:sz w:val="22"/>
        </w:rPr>
        <w:t>。</w:t>
      </w:r>
      <w:r w:rsidR="000254E5" w:rsidRPr="0062291C">
        <w:rPr>
          <w:rFonts w:asciiTheme="minorEastAsia" w:eastAsiaTheme="minorEastAsia" w:hAnsiTheme="minorEastAsia" w:hint="eastAsia"/>
          <w:sz w:val="18"/>
          <w:szCs w:val="18"/>
        </w:rPr>
        <w:t>【82条の2】</w:t>
      </w:r>
    </w:p>
    <w:p w:rsidR="00B662C8" w:rsidRPr="0062291C" w:rsidRDefault="00B662C8" w:rsidP="00B35E5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Pr="001C2594">
        <w:rPr>
          <w:rFonts w:asciiTheme="minorEastAsia" w:eastAsiaTheme="minorEastAsia" w:hAnsiTheme="minorEastAsia" w:hint="eastAsia"/>
          <w:sz w:val="22"/>
        </w:rPr>
        <w:t>国保の運営に関する重要事項を審議する場として、</w:t>
      </w:r>
      <w:r>
        <w:rPr>
          <w:rFonts w:asciiTheme="majorEastAsia" w:eastAsiaTheme="majorEastAsia" w:hAnsiTheme="majorEastAsia" w:hint="eastAsia"/>
          <w:sz w:val="22"/>
        </w:rPr>
        <w:t>国保運営協議会を設置</w:t>
      </w:r>
      <w:r w:rsidR="00E6203B">
        <w:rPr>
          <w:rFonts w:asciiTheme="majorEastAsia" w:eastAsiaTheme="majorEastAsia" w:hAnsiTheme="majorEastAsia" w:hint="eastAsia"/>
          <w:sz w:val="22"/>
        </w:rPr>
        <w:t>。</w:t>
      </w:r>
      <w:r w:rsidR="006F3DF6">
        <w:rPr>
          <w:rFonts w:asciiTheme="majorEastAsia" w:eastAsiaTheme="majorEastAsia" w:hAnsiTheme="majorEastAsia" w:hint="eastAsia"/>
          <w:sz w:val="22"/>
        </w:rPr>
        <w:t xml:space="preserve"> </w:t>
      </w:r>
      <w:r w:rsidR="0062291C">
        <w:rPr>
          <w:rFonts w:asciiTheme="majorEastAsia" w:eastAsiaTheme="majorEastAsia" w:hAnsiTheme="majorEastAsia" w:hint="eastAsia"/>
          <w:sz w:val="22"/>
        </w:rPr>
        <w:t xml:space="preserve">　</w:t>
      </w:r>
      <w:r w:rsidR="000254E5" w:rsidRPr="0062291C">
        <w:rPr>
          <w:rFonts w:asciiTheme="minorEastAsia" w:eastAsiaTheme="minorEastAsia" w:hAnsiTheme="minorEastAsia" w:hint="eastAsia"/>
          <w:sz w:val="18"/>
          <w:szCs w:val="18"/>
        </w:rPr>
        <w:t>【11条1項】</w:t>
      </w:r>
    </w:p>
    <w:p w:rsidR="005870B0" w:rsidRPr="0062291C" w:rsidRDefault="005411EA" w:rsidP="00B35E58">
      <w:pPr>
        <w:spacing w:line="300" w:lineRule="exact"/>
        <w:ind w:left="220" w:hangingChars="100" w:hanging="220"/>
        <w:rPr>
          <w:rFonts w:asciiTheme="minorEastAsia" w:eastAsiaTheme="minorEastAsia" w:hAnsiTheme="minorEastAsia"/>
          <w:sz w:val="18"/>
          <w:szCs w:val="18"/>
        </w:rPr>
      </w:pPr>
      <w:r w:rsidRPr="005411EA">
        <w:rPr>
          <w:rFonts w:asciiTheme="majorEastAsia" w:eastAsiaTheme="majorEastAsia" w:hAnsiTheme="majorEastAsia" w:hint="eastAsia"/>
          <w:sz w:val="22"/>
        </w:rPr>
        <w:t>○　市町村は、保険料の</w:t>
      </w:r>
      <w:r w:rsidR="00E6203B">
        <w:rPr>
          <w:rFonts w:asciiTheme="majorEastAsia" w:eastAsiaTheme="majorEastAsia" w:hAnsiTheme="majorEastAsia" w:hint="eastAsia"/>
          <w:sz w:val="22"/>
        </w:rPr>
        <w:t>賦課・</w:t>
      </w:r>
      <w:r w:rsidRPr="005411EA">
        <w:rPr>
          <w:rFonts w:asciiTheme="majorEastAsia" w:eastAsiaTheme="majorEastAsia" w:hAnsiTheme="majorEastAsia" w:hint="eastAsia"/>
          <w:sz w:val="22"/>
        </w:rPr>
        <w:t>徴収、資格管理・保険給付の決定、保健事業など</w:t>
      </w:r>
      <w:r w:rsidR="005870B0">
        <w:rPr>
          <w:rFonts w:asciiTheme="majorEastAsia" w:eastAsiaTheme="majorEastAsia" w:hAnsiTheme="majorEastAsia" w:hint="eastAsia"/>
          <w:sz w:val="22"/>
        </w:rPr>
        <w:t>、地域におけるきめ細かい事業を</w:t>
      </w:r>
      <w:r w:rsidR="003A5766">
        <w:rPr>
          <w:rFonts w:asciiTheme="majorEastAsia" w:eastAsiaTheme="majorEastAsia" w:hAnsiTheme="majorEastAsia" w:hint="eastAsia"/>
          <w:sz w:val="22"/>
        </w:rPr>
        <w:t>実施</w:t>
      </w:r>
      <w:r w:rsidR="00E6203B">
        <w:rPr>
          <w:rFonts w:asciiTheme="majorEastAsia" w:eastAsiaTheme="majorEastAsia" w:hAnsiTheme="majorEastAsia" w:hint="eastAsia"/>
          <w:sz w:val="22"/>
        </w:rPr>
        <w:t>。</w:t>
      </w:r>
      <w:r w:rsidR="006F3DF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  <w:r w:rsidR="0062291C">
        <w:rPr>
          <w:rFonts w:asciiTheme="majorEastAsia" w:eastAsiaTheme="majorEastAsia" w:hAnsiTheme="majorEastAsia" w:hint="eastAsia"/>
          <w:sz w:val="22"/>
        </w:rPr>
        <w:t xml:space="preserve">　</w:t>
      </w:r>
      <w:r w:rsidR="0062291C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0254E5" w:rsidRPr="0062291C">
        <w:rPr>
          <w:rFonts w:asciiTheme="minorEastAsia" w:eastAsiaTheme="minorEastAsia" w:hAnsiTheme="minorEastAsia" w:hint="eastAsia"/>
          <w:sz w:val="18"/>
          <w:szCs w:val="18"/>
        </w:rPr>
        <w:t>4条3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項】</w:t>
      </w:r>
    </w:p>
    <w:p w:rsidR="00361830" w:rsidRPr="001C2594" w:rsidRDefault="00361830" w:rsidP="00B35E58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Pr="001C2594">
        <w:rPr>
          <w:rFonts w:asciiTheme="minorEastAsia" w:eastAsiaTheme="minorEastAsia" w:hAnsiTheme="minorEastAsia" w:hint="eastAsia"/>
          <w:sz w:val="22"/>
        </w:rPr>
        <w:t>市町村における保険料収納への</w:t>
      </w:r>
      <w:r w:rsidR="007B3819">
        <w:rPr>
          <w:rFonts w:asciiTheme="minorEastAsia" w:eastAsiaTheme="minorEastAsia" w:hAnsiTheme="minorEastAsia" w:hint="eastAsia"/>
          <w:sz w:val="22"/>
        </w:rPr>
        <w:t>イ</w:t>
      </w:r>
      <w:r w:rsidRPr="001C2594">
        <w:rPr>
          <w:rFonts w:asciiTheme="minorEastAsia" w:eastAsiaTheme="minorEastAsia" w:hAnsiTheme="minorEastAsia" w:hint="eastAsia"/>
          <w:sz w:val="22"/>
        </w:rPr>
        <w:t>ンセンティブを確保する等の観点から、</w:t>
      </w:r>
    </w:p>
    <w:p w:rsidR="00B275DF" w:rsidRPr="0062291C" w:rsidRDefault="00361830" w:rsidP="0062291C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・　都道府県</w:t>
      </w:r>
      <w:r w:rsidR="001C2594">
        <w:rPr>
          <w:rFonts w:asciiTheme="majorEastAsia" w:eastAsiaTheme="majorEastAsia" w:hAnsiTheme="majorEastAsia" w:hint="eastAsia"/>
          <w:sz w:val="22"/>
        </w:rPr>
        <w:t>は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380223">
        <w:rPr>
          <w:rFonts w:asciiTheme="majorEastAsia" w:eastAsiaTheme="majorEastAsia" w:hAnsiTheme="majorEastAsia" w:hint="eastAsia"/>
          <w:sz w:val="22"/>
        </w:rPr>
        <w:t>条例により、</w:t>
      </w:r>
      <w:r w:rsidRPr="001C2594">
        <w:rPr>
          <w:rFonts w:asciiTheme="minorEastAsia" w:eastAsiaTheme="minorEastAsia" w:hAnsiTheme="minorEastAsia" w:hint="eastAsia"/>
          <w:sz w:val="22"/>
        </w:rPr>
        <w:t>都道府県内の医療給付費等の見込みを立て、</w:t>
      </w:r>
      <w:r w:rsidRPr="005411EA">
        <w:rPr>
          <w:rFonts w:asciiTheme="majorEastAsia" w:eastAsiaTheme="majorEastAsia" w:hAnsiTheme="majorEastAsia" w:hint="eastAsia"/>
          <w:sz w:val="22"/>
        </w:rPr>
        <w:t>市町村ごとの</w:t>
      </w:r>
      <w:r w:rsidR="00380223">
        <w:rPr>
          <w:rFonts w:asciiTheme="majorEastAsia" w:eastAsiaTheme="majorEastAsia" w:hAnsiTheme="majorEastAsia" w:hint="eastAsia"/>
          <w:sz w:val="22"/>
        </w:rPr>
        <w:t>事業費納付金（</w:t>
      </w:r>
      <w:r w:rsidRPr="005411EA">
        <w:rPr>
          <w:rFonts w:asciiTheme="majorEastAsia" w:eastAsiaTheme="majorEastAsia" w:hAnsiTheme="majorEastAsia" w:hint="eastAsia"/>
          <w:sz w:val="22"/>
        </w:rPr>
        <w:t>分賦金</w:t>
      </w:r>
      <w:r w:rsidR="00380223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を</w:t>
      </w:r>
      <w:r w:rsidRPr="005411EA">
        <w:rPr>
          <w:rFonts w:asciiTheme="majorEastAsia" w:eastAsiaTheme="majorEastAsia" w:hAnsiTheme="majorEastAsia" w:hint="eastAsia"/>
          <w:sz w:val="22"/>
        </w:rPr>
        <w:t>決定</w:t>
      </w:r>
      <w:r w:rsidRPr="001C2594">
        <w:rPr>
          <w:rFonts w:asciiTheme="minorEastAsia" w:eastAsiaTheme="minorEastAsia" w:hAnsiTheme="minorEastAsia" w:hint="eastAsia"/>
          <w:sz w:val="22"/>
        </w:rPr>
        <w:t>（医療費水準及び所得水準を反映）。</w:t>
      </w:r>
      <w:r w:rsidR="00380223">
        <w:rPr>
          <w:rFonts w:asciiTheme="minorEastAsia" w:eastAsiaTheme="minorEastAsia" w:hAnsiTheme="minorEastAsia" w:hint="eastAsia"/>
          <w:sz w:val="22"/>
        </w:rPr>
        <w:t xml:space="preserve"> 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【75条の7第1項</w:t>
      </w:r>
      <w:r w:rsidR="006F3DF6" w:rsidRPr="0062291C">
        <w:rPr>
          <w:rFonts w:asciiTheme="minorEastAsia" w:eastAsiaTheme="minorEastAsia" w:hAnsiTheme="minorEastAsia" w:hint="eastAsia"/>
          <w:sz w:val="18"/>
          <w:szCs w:val="18"/>
        </w:rPr>
        <w:t>（詳細は政令等</w:t>
      </w:r>
      <w:r w:rsidR="0062291C">
        <w:rPr>
          <w:rFonts w:asciiTheme="minorEastAsia" w:eastAsiaTheme="minorEastAsia" w:hAnsiTheme="minorEastAsia"/>
          <w:sz w:val="18"/>
          <w:szCs w:val="18"/>
        </w:rPr>
        <w:t>）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361830" w:rsidRPr="0062291C" w:rsidRDefault="00B275DF" w:rsidP="00B35E5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="00361830" w:rsidRPr="001C2594">
        <w:rPr>
          <w:rFonts w:asciiTheme="minorEastAsia" w:eastAsiaTheme="minorEastAsia" w:hAnsiTheme="minorEastAsia" w:hint="eastAsia"/>
          <w:sz w:val="22"/>
        </w:rPr>
        <w:t>また、</w:t>
      </w:r>
      <w:r w:rsidR="00361830">
        <w:rPr>
          <w:rFonts w:asciiTheme="majorEastAsia" w:eastAsiaTheme="majorEastAsia" w:hAnsiTheme="majorEastAsia" w:hint="eastAsia"/>
          <w:sz w:val="22"/>
        </w:rPr>
        <w:t>標準的な保険料算定方式や市町村規模別の収納率目標等、市町村が保険料率を定める際に参考となる事項</w:t>
      </w:r>
      <w:r>
        <w:rPr>
          <w:rFonts w:asciiTheme="majorEastAsia" w:eastAsiaTheme="majorEastAsia" w:hAnsiTheme="majorEastAsia" w:hint="eastAsia"/>
          <w:sz w:val="22"/>
        </w:rPr>
        <w:t>について</w:t>
      </w:r>
      <w:r w:rsidR="00361830">
        <w:rPr>
          <w:rFonts w:asciiTheme="majorEastAsia" w:eastAsiaTheme="majorEastAsia" w:hAnsiTheme="majorEastAsia" w:hint="eastAsia"/>
          <w:sz w:val="22"/>
        </w:rPr>
        <w:t>の標準を設定</w:t>
      </w:r>
      <w:r w:rsidR="00361830" w:rsidRPr="001C2594">
        <w:rPr>
          <w:rFonts w:asciiTheme="minorEastAsia" w:eastAsiaTheme="minorEastAsia" w:hAnsiTheme="minorEastAsia" w:hint="eastAsia"/>
          <w:sz w:val="22"/>
        </w:rPr>
        <w:t>するとともに、</w:t>
      </w:r>
      <w:r w:rsidR="00361830" w:rsidRPr="005411EA">
        <w:rPr>
          <w:rFonts w:asciiTheme="majorEastAsia" w:eastAsiaTheme="majorEastAsia" w:hAnsiTheme="majorEastAsia" w:hint="eastAsia"/>
          <w:sz w:val="22"/>
        </w:rPr>
        <w:t>標準保険料率</w:t>
      </w:r>
      <w:r w:rsidR="00361830">
        <w:rPr>
          <w:rFonts w:asciiTheme="majorEastAsia" w:eastAsiaTheme="majorEastAsia" w:hAnsiTheme="majorEastAsia" w:hint="eastAsia"/>
          <w:sz w:val="22"/>
        </w:rPr>
        <w:t>を提示</w:t>
      </w:r>
      <w:r w:rsidR="00361830" w:rsidRPr="001C2594">
        <w:rPr>
          <w:rFonts w:asciiTheme="minorEastAsia" w:eastAsiaTheme="minorEastAsia" w:hAnsiTheme="minorEastAsia" w:hint="eastAsia"/>
          <w:sz w:val="22"/>
        </w:rPr>
        <w:t>（標準的な住民負担の見える化）。</w:t>
      </w:r>
      <w:r w:rsidR="006F3DF6">
        <w:rPr>
          <w:rFonts w:asciiTheme="minorEastAsia" w:eastAsiaTheme="minorEastAsia" w:hAnsiTheme="minorEastAsia" w:hint="eastAsia"/>
          <w:sz w:val="22"/>
        </w:rPr>
        <w:t xml:space="preserve">　　　　　　　　　　　 </w:t>
      </w:r>
      <w:r w:rsidR="0062291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6F3DF6" w:rsidRPr="0062291C">
        <w:rPr>
          <w:rFonts w:asciiTheme="minorEastAsia" w:eastAsiaTheme="minorEastAsia" w:hAnsiTheme="minorEastAsia" w:hint="eastAsia"/>
          <w:sz w:val="18"/>
          <w:szCs w:val="18"/>
        </w:rPr>
        <w:t>82条の2第2項、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82条の3</w:t>
      </w:r>
      <w:r w:rsidR="006F3DF6" w:rsidRPr="0062291C">
        <w:rPr>
          <w:rFonts w:asciiTheme="minorEastAsia" w:eastAsiaTheme="minorEastAsia" w:hAnsiTheme="minorEastAsia" w:hint="eastAsia"/>
          <w:sz w:val="18"/>
          <w:szCs w:val="18"/>
        </w:rPr>
        <w:t>（詳細は省令等）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361830" w:rsidRPr="0062291C" w:rsidRDefault="00361830" w:rsidP="00B35E5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・　市町村は、都道府県が示す標準保険料率</w:t>
      </w:r>
      <w:r w:rsidR="00541FD3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を参考に保険料率を定め、保険料を賦課・徴収</w:t>
      </w:r>
      <w:r w:rsidRPr="001C2594">
        <w:rPr>
          <w:rFonts w:asciiTheme="minorEastAsia" w:eastAsiaTheme="minorEastAsia" w:hAnsiTheme="minorEastAsia" w:hint="eastAsia"/>
          <w:sz w:val="22"/>
        </w:rPr>
        <w:t>するとともに、</w:t>
      </w:r>
      <w:r>
        <w:rPr>
          <w:rFonts w:asciiTheme="majorEastAsia" w:eastAsiaTheme="majorEastAsia" w:hAnsiTheme="majorEastAsia" w:hint="eastAsia"/>
          <w:sz w:val="22"/>
        </w:rPr>
        <w:t>都道府県に</w:t>
      </w:r>
      <w:r w:rsidR="00380223">
        <w:rPr>
          <w:rFonts w:asciiTheme="majorEastAsia" w:eastAsiaTheme="majorEastAsia" w:hAnsiTheme="majorEastAsia" w:hint="eastAsia"/>
          <w:sz w:val="22"/>
        </w:rPr>
        <w:t>事業費納付金（</w:t>
      </w:r>
      <w:r w:rsidR="00380223" w:rsidRPr="005411EA">
        <w:rPr>
          <w:rFonts w:asciiTheme="majorEastAsia" w:eastAsiaTheme="majorEastAsia" w:hAnsiTheme="majorEastAsia" w:hint="eastAsia"/>
          <w:sz w:val="22"/>
        </w:rPr>
        <w:t>分賦金</w:t>
      </w:r>
      <w:r w:rsidR="00380223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を納付。</w:t>
      </w:r>
      <w:r w:rsidR="00B35E58">
        <w:rPr>
          <w:rFonts w:asciiTheme="majorEastAsia" w:eastAsiaTheme="majorEastAsia" w:hAnsiTheme="majorEastAsia" w:hint="eastAsia"/>
          <w:sz w:val="22"/>
        </w:rPr>
        <w:t xml:space="preserve">    </w:t>
      </w:r>
      <w:r w:rsidR="00380223">
        <w:rPr>
          <w:rFonts w:asciiTheme="majorEastAsia" w:eastAsiaTheme="majorEastAsia" w:hAnsiTheme="majorEastAsia" w:hint="eastAsia"/>
          <w:sz w:val="22"/>
        </w:rPr>
        <w:t xml:space="preserve">  </w:t>
      </w:r>
      <w:r w:rsidR="00B35E58">
        <w:rPr>
          <w:rFonts w:asciiTheme="majorEastAsia" w:eastAsiaTheme="majorEastAsia" w:hAnsiTheme="majorEastAsia" w:hint="eastAsia"/>
          <w:sz w:val="22"/>
        </w:rPr>
        <w:t xml:space="preserve">　</w:t>
      </w:r>
      <w:r w:rsidR="0062291C">
        <w:rPr>
          <w:rFonts w:asciiTheme="majorEastAsia" w:eastAsiaTheme="majorEastAsia" w:hAnsiTheme="majorEastAsia" w:hint="eastAsia"/>
          <w:sz w:val="22"/>
        </w:rPr>
        <w:t xml:space="preserve">　 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【81条、75条の7第2項】</w:t>
      </w:r>
    </w:p>
    <w:p w:rsidR="00361830" w:rsidRDefault="00361830" w:rsidP="00B35E58">
      <w:pPr>
        <w:spacing w:line="30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　保険料率は、</w:t>
      </w:r>
      <w:r w:rsidRPr="001C2594">
        <w:rPr>
          <w:rFonts w:asciiTheme="minorEastAsia" w:eastAsiaTheme="minorEastAsia" w:hAnsiTheme="minorEastAsia" w:hint="eastAsia"/>
          <w:sz w:val="22"/>
        </w:rPr>
        <w:t>市町村ごとに設定することを基本としつつ、</w:t>
      </w:r>
      <w:r>
        <w:rPr>
          <w:rFonts w:asciiTheme="majorEastAsia" w:eastAsiaTheme="majorEastAsia" w:hAnsiTheme="majorEastAsia" w:hint="eastAsia"/>
          <w:sz w:val="22"/>
        </w:rPr>
        <w:t>二次医療圏ごと、</w:t>
      </w:r>
      <w:r w:rsidRPr="007B3819">
        <w:rPr>
          <w:rFonts w:asciiTheme="majorEastAsia" w:eastAsiaTheme="majorEastAsia" w:hAnsiTheme="majorEastAsia" w:hint="eastAsia"/>
          <w:sz w:val="22"/>
          <w:u w:val="thick"/>
        </w:rPr>
        <w:t>都道府県ごとに一本化することも可能な仕組み</w:t>
      </w:r>
      <w:r w:rsidR="00B275DF" w:rsidRPr="007B3819">
        <w:rPr>
          <w:rFonts w:asciiTheme="majorEastAsia" w:eastAsiaTheme="majorEastAsia" w:hAnsiTheme="majorEastAsia" w:hint="eastAsia"/>
          <w:sz w:val="22"/>
          <w:u w:val="thick"/>
        </w:rPr>
        <w:t>。</w:t>
      </w:r>
      <w:r w:rsidR="0062291C" w:rsidRPr="0062291C">
        <w:rPr>
          <w:rFonts w:asciiTheme="majorEastAsia" w:eastAsiaTheme="majorEastAsia" w:hAnsiTheme="majorEastAsia" w:hint="eastAsia"/>
          <w:sz w:val="22"/>
        </w:rPr>
        <w:t xml:space="preserve">                                 </w:t>
      </w:r>
      <w:r w:rsidR="00562555">
        <w:rPr>
          <w:rFonts w:asciiTheme="majorEastAsia" w:eastAsiaTheme="majorEastAsia" w:hAnsiTheme="majorEastAsia" w:hint="eastAsia"/>
          <w:sz w:val="22"/>
        </w:rPr>
        <w:t xml:space="preserve">　　　 </w:t>
      </w:r>
      <w:r w:rsidR="0062291C" w:rsidRPr="00562555">
        <w:rPr>
          <w:rFonts w:asciiTheme="minorEastAsia" w:eastAsiaTheme="minorEastAsia" w:hAnsiTheme="minorEastAsia" w:hint="eastAsia"/>
          <w:sz w:val="18"/>
          <w:szCs w:val="18"/>
          <w:u w:val="single"/>
        </w:rPr>
        <w:t>【</w:t>
      </w:r>
      <w:r w:rsidR="00562555" w:rsidRPr="00562555">
        <w:rPr>
          <w:rFonts w:asciiTheme="minorEastAsia" w:eastAsiaTheme="minorEastAsia" w:hAnsiTheme="minorEastAsia" w:hint="eastAsia"/>
          <w:sz w:val="18"/>
          <w:szCs w:val="18"/>
          <w:u w:val="single"/>
        </w:rPr>
        <w:t>省令等で規定</w:t>
      </w:r>
      <w:r w:rsidR="0062291C" w:rsidRPr="00562555">
        <w:rPr>
          <w:rFonts w:asciiTheme="minorEastAsia" w:eastAsiaTheme="minorEastAsia" w:hAnsiTheme="minorEastAsia" w:hint="eastAsia"/>
          <w:sz w:val="18"/>
          <w:szCs w:val="18"/>
          <w:u w:val="single"/>
        </w:rPr>
        <w:t>】</w:t>
      </w:r>
    </w:p>
    <w:p w:rsidR="00361830" w:rsidRDefault="00361830" w:rsidP="00B35E58">
      <w:pPr>
        <w:spacing w:line="30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Pr="001C2594">
        <w:rPr>
          <w:rFonts w:asciiTheme="minorEastAsia" w:eastAsiaTheme="minorEastAsia" w:hAnsiTheme="minorEastAsia" w:hint="eastAsia"/>
          <w:sz w:val="22"/>
        </w:rPr>
        <w:t>今回の改革により、</w:t>
      </w:r>
      <w:r>
        <w:rPr>
          <w:rFonts w:asciiTheme="majorEastAsia" w:eastAsiaTheme="majorEastAsia" w:hAnsiTheme="majorEastAsia" w:hint="eastAsia"/>
          <w:sz w:val="22"/>
        </w:rPr>
        <w:t>被保険者の保険料水準</w:t>
      </w:r>
      <w:r w:rsidR="00B275DF">
        <w:rPr>
          <w:rFonts w:asciiTheme="majorEastAsia" w:eastAsiaTheme="majorEastAsia" w:hAnsiTheme="majorEastAsia" w:hint="eastAsia"/>
          <w:sz w:val="22"/>
        </w:rPr>
        <w:t>が急激に変化することのないよう必要な配慮。</w:t>
      </w:r>
    </w:p>
    <w:p w:rsidR="00B275DF" w:rsidRPr="001C2594" w:rsidRDefault="00B275DF" w:rsidP="00B35E58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1C2594">
        <w:rPr>
          <w:rFonts w:asciiTheme="minorEastAsia" w:eastAsiaTheme="minorEastAsia" w:hAnsiTheme="minorEastAsia" w:hint="eastAsia"/>
          <w:sz w:val="22"/>
        </w:rPr>
        <w:t xml:space="preserve">○　</w:t>
      </w:r>
      <w:r w:rsidRPr="00380223">
        <w:rPr>
          <w:rFonts w:asciiTheme="majorEastAsia" w:eastAsiaTheme="majorEastAsia" w:hAnsiTheme="majorEastAsia" w:hint="eastAsia"/>
          <w:sz w:val="22"/>
        </w:rPr>
        <w:t>都道府県は、</w:t>
      </w:r>
    </w:p>
    <w:p w:rsidR="00380223" w:rsidRDefault="00361830" w:rsidP="00B35E5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1C2594">
        <w:rPr>
          <w:rFonts w:asciiTheme="minorEastAsia" w:eastAsiaTheme="minorEastAsia" w:hAnsiTheme="minorEastAsia" w:hint="eastAsia"/>
          <w:sz w:val="22"/>
        </w:rPr>
        <w:t xml:space="preserve">・　</w:t>
      </w:r>
      <w:r w:rsidR="00380223" w:rsidRPr="00380223">
        <w:rPr>
          <w:rFonts w:asciiTheme="majorEastAsia" w:eastAsiaTheme="majorEastAsia" w:hAnsiTheme="majorEastAsia" w:hint="eastAsia"/>
          <w:sz w:val="22"/>
        </w:rPr>
        <w:t>条例により、</w:t>
      </w:r>
      <w:r w:rsidR="00380223">
        <w:rPr>
          <w:rFonts w:asciiTheme="majorEastAsia" w:eastAsiaTheme="majorEastAsia" w:hAnsiTheme="majorEastAsia" w:hint="eastAsia"/>
          <w:sz w:val="22"/>
        </w:rPr>
        <w:t>保険給付費等交付金（</w:t>
      </w:r>
      <w:r w:rsidRPr="00380223">
        <w:rPr>
          <w:rFonts w:asciiTheme="majorEastAsia" w:eastAsiaTheme="majorEastAsia" w:hAnsiTheme="majorEastAsia" w:hint="eastAsia"/>
          <w:sz w:val="22"/>
        </w:rPr>
        <w:t>保険給付に要した費用</w:t>
      </w:r>
      <w:r w:rsidR="00380223">
        <w:rPr>
          <w:rFonts w:asciiTheme="majorEastAsia" w:eastAsiaTheme="majorEastAsia" w:hAnsiTheme="majorEastAsia" w:hint="eastAsia"/>
          <w:sz w:val="22"/>
        </w:rPr>
        <w:t>）</w:t>
      </w:r>
      <w:r w:rsidR="007B3819" w:rsidRPr="00380223">
        <w:rPr>
          <w:rFonts w:asciiTheme="majorEastAsia" w:eastAsiaTheme="majorEastAsia" w:hAnsiTheme="majorEastAsia" w:hint="eastAsia"/>
          <w:sz w:val="22"/>
        </w:rPr>
        <w:t>を</w:t>
      </w:r>
      <w:r w:rsidRPr="00380223">
        <w:rPr>
          <w:rFonts w:asciiTheme="majorEastAsia" w:eastAsiaTheme="majorEastAsia" w:hAnsiTheme="majorEastAsia" w:hint="eastAsia"/>
          <w:sz w:val="22"/>
        </w:rPr>
        <w:t>市町村に対して確実に支払う</w:t>
      </w:r>
      <w:r w:rsidRPr="001C2594">
        <w:rPr>
          <w:rFonts w:asciiTheme="minorEastAsia" w:eastAsiaTheme="minorEastAsia" w:hAnsiTheme="minorEastAsia" w:hint="eastAsia"/>
          <w:sz w:val="22"/>
        </w:rPr>
        <w:t>とともに、市町村が行った保険給付の点検を行うなど、適正な給付を推進。</w:t>
      </w:r>
    </w:p>
    <w:p w:rsidR="00361830" w:rsidRPr="0062291C" w:rsidRDefault="0062291C" w:rsidP="00380223">
      <w:pPr>
        <w:spacing w:line="30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【75条の2</w:t>
      </w:r>
      <w:r w:rsidR="00B35E58" w:rsidRPr="0062291C">
        <w:rPr>
          <w:rFonts w:asciiTheme="minorEastAsia" w:eastAsiaTheme="minorEastAsia" w:hAnsiTheme="minorEastAsia" w:hint="eastAsia"/>
          <w:sz w:val="18"/>
          <w:szCs w:val="18"/>
        </w:rPr>
        <w:t>、75条の3～6（詳細は政令等）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361830" w:rsidRPr="0062291C" w:rsidRDefault="00361830" w:rsidP="00B35E58">
      <w:pPr>
        <w:spacing w:line="300" w:lineRule="exact"/>
        <w:ind w:leftChars="100" w:left="430" w:hangingChars="100" w:hanging="220"/>
        <w:rPr>
          <w:rFonts w:asciiTheme="minorEastAsia" w:eastAsiaTheme="minorEastAsia" w:hAnsiTheme="minorEastAsia"/>
          <w:sz w:val="18"/>
          <w:szCs w:val="18"/>
        </w:rPr>
      </w:pPr>
      <w:r w:rsidRPr="001C2594">
        <w:rPr>
          <w:rFonts w:asciiTheme="minorEastAsia" w:eastAsiaTheme="minorEastAsia" w:hAnsiTheme="minorEastAsia" w:hint="eastAsia"/>
          <w:sz w:val="22"/>
        </w:rPr>
        <w:t>・　医療機関による大規模な不正請求事案において、不正利得の回収にイニシアティブを発揮する等、市町村の事務負担を軽減。</w:t>
      </w:r>
      <w:r w:rsidR="00B35E5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62291C">
        <w:rPr>
          <w:rFonts w:asciiTheme="minorEastAsia" w:eastAsiaTheme="minorEastAsia" w:hAnsiTheme="minorEastAsia" w:hint="eastAsia"/>
          <w:sz w:val="22"/>
        </w:rPr>
        <w:t xml:space="preserve">  </w:t>
      </w:r>
      <w:r w:rsidR="00380223">
        <w:rPr>
          <w:rFonts w:asciiTheme="minorEastAsia" w:eastAsiaTheme="minorEastAsia" w:hAnsiTheme="minorEastAsia" w:hint="eastAsia"/>
          <w:sz w:val="22"/>
        </w:rPr>
        <w:t xml:space="preserve"> 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6C3850" w:rsidRPr="0062291C">
        <w:rPr>
          <w:rFonts w:asciiTheme="minorEastAsia" w:eastAsiaTheme="minorEastAsia" w:hAnsiTheme="minorEastAsia" w:hint="eastAsia"/>
          <w:sz w:val="18"/>
          <w:szCs w:val="18"/>
        </w:rPr>
        <w:t>65</w:t>
      </w:r>
      <w:r w:rsidR="0044409F" w:rsidRPr="0062291C">
        <w:rPr>
          <w:rFonts w:asciiTheme="minorEastAsia" w:eastAsiaTheme="minorEastAsia" w:hAnsiTheme="minorEastAsia" w:hint="eastAsia"/>
          <w:sz w:val="18"/>
          <w:szCs w:val="18"/>
        </w:rPr>
        <w:t>条4項】</w:t>
      </w:r>
    </w:p>
    <w:p w:rsidR="005870B0" w:rsidRPr="00361830" w:rsidRDefault="005870B0" w:rsidP="000950A5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5870B0" w:rsidRPr="001C2594" w:rsidRDefault="001B362C" w:rsidP="00B35E58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 w:val="22"/>
          <w:bdr w:val="single" w:sz="4" w:space="0" w:color="auto"/>
        </w:rPr>
      </w:pPr>
      <w:r w:rsidRPr="001C2594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ue"/>
          <w:bdr w:val="single" w:sz="4" w:space="0" w:color="auto"/>
        </w:rPr>
        <w:t>今後、更に検討を進めるべき事項</w:t>
      </w:r>
    </w:p>
    <w:p w:rsidR="00356966" w:rsidRDefault="00356966" w:rsidP="00B35E58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制度や運用の詳細について、引き続き地方と協議</w:t>
      </w:r>
      <w:r w:rsidRPr="001C2594">
        <w:rPr>
          <w:rFonts w:asciiTheme="minorEastAsia" w:eastAsiaTheme="minorEastAsia" w:hAnsiTheme="minorEastAsia" w:hint="eastAsia"/>
          <w:sz w:val="22"/>
        </w:rPr>
        <w:t>しながら検討し、順次、具体化を図る</w:t>
      </w:r>
      <w:r w:rsidR="00E6203B" w:rsidRPr="001C2594">
        <w:rPr>
          <w:rFonts w:asciiTheme="minorEastAsia" w:eastAsiaTheme="minorEastAsia" w:hAnsiTheme="minorEastAsia" w:hint="eastAsia"/>
          <w:sz w:val="22"/>
        </w:rPr>
        <w:t>。</w:t>
      </w:r>
    </w:p>
    <w:p w:rsidR="0097114E" w:rsidRDefault="0097114E" w:rsidP="00B35E58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="00356966" w:rsidRPr="001C2594">
        <w:rPr>
          <w:rFonts w:asciiTheme="minorEastAsia" w:eastAsiaTheme="minorEastAsia" w:hAnsiTheme="minorEastAsia" w:hint="eastAsia"/>
          <w:sz w:val="22"/>
        </w:rPr>
        <w:t>在り方については、不断の検証が重要であり、その際、</w:t>
      </w:r>
      <w:r>
        <w:rPr>
          <w:rFonts w:asciiTheme="majorEastAsia" w:eastAsiaTheme="majorEastAsia" w:hAnsiTheme="majorEastAsia" w:hint="eastAsia"/>
          <w:sz w:val="22"/>
        </w:rPr>
        <w:t>地方単独事業</w:t>
      </w:r>
      <w:r w:rsidR="007B3819">
        <w:rPr>
          <w:rFonts w:asciiTheme="majorEastAsia" w:eastAsiaTheme="majorEastAsia" w:hAnsiTheme="majorEastAsia" w:hint="eastAsia"/>
          <w:sz w:val="22"/>
        </w:rPr>
        <w:t>（乳幼児医療費助成や障がい者医療費助成など）</w:t>
      </w:r>
      <w:r w:rsidR="00356966">
        <w:rPr>
          <w:rFonts w:asciiTheme="majorEastAsia" w:eastAsiaTheme="majorEastAsia" w:hAnsiTheme="majorEastAsia" w:hint="eastAsia"/>
          <w:sz w:val="22"/>
        </w:rPr>
        <w:t>に係る国庫負担調整措置の見直しなど、地方からの提案も引き続き議論</w:t>
      </w:r>
      <w:r w:rsidR="00E6203B">
        <w:rPr>
          <w:rFonts w:asciiTheme="majorEastAsia" w:eastAsiaTheme="majorEastAsia" w:hAnsiTheme="majorEastAsia" w:hint="eastAsia"/>
          <w:sz w:val="22"/>
        </w:rPr>
        <w:t>。</w:t>
      </w:r>
    </w:p>
    <w:p w:rsidR="001B362C" w:rsidRDefault="00D71763" w:rsidP="00B35E58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="0097114E" w:rsidRPr="001C2594">
        <w:rPr>
          <w:rFonts w:asciiTheme="majorEastAsia" w:eastAsiaTheme="majorEastAsia" w:hAnsiTheme="majorEastAsia" w:hint="eastAsia"/>
          <w:sz w:val="22"/>
        </w:rPr>
        <w:t>今回の改革後においても、</w:t>
      </w:r>
      <w:r w:rsidR="0097114E" w:rsidRPr="001C2594">
        <w:rPr>
          <w:rFonts w:asciiTheme="minorEastAsia" w:eastAsiaTheme="minorEastAsia" w:hAnsiTheme="minorEastAsia" w:hint="eastAsia"/>
          <w:sz w:val="22"/>
        </w:rPr>
        <w:t>運営の状況等を検証し、更なる取組を推進。都道府県と市町村との役割分担の在り方も含め、</w:t>
      </w:r>
      <w:r w:rsidR="0097114E">
        <w:rPr>
          <w:rFonts w:asciiTheme="majorEastAsia" w:eastAsiaTheme="majorEastAsia" w:hAnsiTheme="majorEastAsia" w:hint="eastAsia"/>
          <w:sz w:val="22"/>
        </w:rPr>
        <w:t>制度全般について検討</w:t>
      </w:r>
      <w:r w:rsidR="001C2594">
        <w:rPr>
          <w:rFonts w:asciiTheme="majorEastAsia" w:eastAsiaTheme="majorEastAsia" w:hAnsiTheme="majorEastAsia" w:hint="eastAsia"/>
          <w:sz w:val="22"/>
        </w:rPr>
        <w:t>し</w:t>
      </w:r>
      <w:r w:rsidR="0097114E">
        <w:rPr>
          <w:rFonts w:asciiTheme="majorEastAsia" w:eastAsiaTheme="majorEastAsia" w:hAnsiTheme="majorEastAsia" w:hint="eastAsia"/>
          <w:sz w:val="22"/>
        </w:rPr>
        <w:t>、その結果に基づき、所要の措置を講じる</w:t>
      </w:r>
      <w:r w:rsidR="00E6203B">
        <w:rPr>
          <w:rFonts w:asciiTheme="majorEastAsia" w:eastAsiaTheme="majorEastAsia" w:hAnsiTheme="majorEastAsia" w:hint="eastAsia"/>
          <w:sz w:val="22"/>
        </w:rPr>
        <w:t>。</w:t>
      </w:r>
    </w:p>
    <w:p w:rsidR="006E3C05" w:rsidRPr="0062291C" w:rsidRDefault="006E3C05" w:rsidP="0062291C">
      <w:pPr>
        <w:spacing w:line="300" w:lineRule="exact"/>
        <w:ind w:left="180" w:hangingChars="100" w:hanging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62291C">
        <w:rPr>
          <w:rFonts w:asciiTheme="minorEastAsia" w:eastAsiaTheme="minorEastAsia" w:hAnsiTheme="minorEastAsia" w:hint="eastAsia"/>
          <w:sz w:val="18"/>
          <w:szCs w:val="18"/>
        </w:rPr>
        <w:t>【改正一括法附則2条2項】</w:t>
      </w:r>
    </w:p>
    <w:p w:rsidR="00D71763" w:rsidRDefault="001B362C" w:rsidP="00B35E5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今後も、厚生労働省と地方との間で、国保基盤強化協議会等において議論</w:t>
      </w:r>
      <w:r w:rsidR="00E6203B">
        <w:rPr>
          <w:rFonts w:asciiTheme="majorEastAsia" w:eastAsiaTheme="majorEastAsia" w:hAnsiTheme="majorEastAsia" w:hint="eastAsia"/>
          <w:sz w:val="22"/>
        </w:rPr>
        <w:t>。</w:t>
      </w:r>
    </w:p>
    <w:p w:rsidR="007E60DB" w:rsidRDefault="007E60DB" w:rsidP="00380223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:rsidR="007E60DB" w:rsidRPr="0062291C" w:rsidRDefault="007E60DB" w:rsidP="00B35E58">
      <w:pPr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（その他）都道府県は、国保連合会に加入可能　　　　　　　　　　</w:t>
      </w:r>
      <w:r w:rsidR="00416F00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62291C">
        <w:rPr>
          <w:rFonts w:asciiTheme="majorEastAsia" w:eastAsiaTheme="majorEastAsia" w:hAnsiTheme="majorEastAsia" w:hint="eastAsia"/>
          <w:sz w:val="22"/>
        </w:rPr>
        <w:t xml:space="preserve">   </w:t>
      </w:r>
      <w:r w:rsidRPr="0062291C">
        <w:rPr>
          <w:rFonts w:asciiTheme="minorEastAsia" w:eastAsiaTheme="minorEastAsia" w:hAnsiTheme="minorEastAsia" w:hint="eastAsia"/>
          <w:sz w:val="18"/>
          <w:szCs w:val="18"/>
        </w:rPr>
        <w:t>【83条、84条】</w:t>
      </w:r>
    </w:p>
    <w:sectPr w:rsidR="007E60DB" w:rsidRPr="0062291C" w:rsidSect="00A57A57">
      <w:footerReference w:type="default" r:id="rId9"/>
      <w:pgSz w:w="11906" w:h="16838" w:code="9"/>
      <w:pgMar w:top="567" w:right="1134" w:bottom="397" w:left="1134" w:header="851" w:footer="130" w:gutter="0"/>
      <w:pgNumType w:fmt="numberInDash" w:start="4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BA" w:rsidRDefault="001437BA" w:rsidP="001437BA">
      <w:r>
        <w:separator/>
      </w:r>
    </w:p>
  </w:endnote>
  <w:endnote w:type="continuationSeparator" w:id="0">
    <w:p w:rsidR="001437BA" w:rsidRDefault="001437BA" w:rsidP="0014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5252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533A4A" w:rsidRPr="00533A4A" w:rsidRDefault="006A23EF">
        <w:pPr>
          <w:pStyle w:val="a6"/>
          <w:jc w:val="center"/>
          <w:rPr>
            <w:rFonts w:asciiTheme="majorEastAsia" w:eastAsiaTheme="majorEastAsia" w:hAnsiTheme="majorEastAsia"/>
          </w:rPr>
        </w:pPr>
      </w:p>
    </w:sdtContent>
  </w:sdt>
  <w:p w:rsidR="00533A4A" w:rsidRDefault="00533A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BA" w:rsidRDefault="001437BA" w:rsidP="001437BA">
      <w:r>
        <w:separator/>
      </w:r>
    </w:p>
  </w:footnote>
  <w:footnote w:type="continuationSeparator" w:id="0">
    <w:p w:rsidR="001437BA" w:rsidRDefault="001437BA" w:rsidP="0014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2C26"/>
    <w:multiLevelType w:val="hybridMultilevel"/>
    <w:tmpl w:val="16F89794"/>
    <w:lvl w:ilvl="0" w:tplc="0CAC762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EA"/>
    <w:rsid w:val="000254E5"/>
    <w:rsid w:val="000950A5"/>
    <w:rsid w:val="00132521"/>
    <w:rsid w:val="001437BA"/>
    <w:rsid w:val="001B362C"/>
    <w:rsid w:val="001C2594"/>
    <w:rsid w:val="00204F20"/>
    <w:rsid w:val="00306CB4"/>
    <w:rsid w:val="003431CA"/>
    <w:rsid w:val="0035386D"/>
    <w:rsid w:val="00356966"/>
    <w:rsid w:val="00361830"/>
    <w:rsid w:val="00380223"/>
    <w:rsid w:val="003A1C86"/>
    <w:rsid w:val="003A5766"/>
    <w:rsid w:val="003F25F7"/>
    <w:rsid w:val="00416F00"/>
    <w:rsid w:val="0044409F"/>
    <w:rsid w:val="0049027D"/>
    <w:rsid w:val="00533A4A"/>
    <w:rsid w:val="005411EA"/>
    <w:rsid w:val="00541FD3"/>
    <w:rsid w:val="00562555"/>
    <w:rsid w:val="005870B0"/>
    <w:rsid w:val="0062291C"/>
    <w:rsid w:val="006A23EF"/>
    <w:rsid w:val="006C3850"/>
    <w:rsid w:val="006E3C05"/>
    <w:rsid w:val="006F3DF6"/>
    <w:rsid w:val="00774044"/>
    <w:rsid w:val="007A6EF7"/>
    <w:rsid w:val="007B3819"/>
    <w:rsid w:val="007E60DB"/>
    <w:rsid w:val="007F2A4B"/>
    <w:rsid w:val="008F1A9F"/>
    <w:rsid w:val="0097114E"/>
    <w:rsid w:val="009C1CC9"/>
    <w:rsid w:val="00A31572"/>
    <w:rsid w:val="00A57A57"/>
    <w:rsid w:val="00B136C0"/>
    <w:rsid w:val="00B275DF"/>
    <w:rsid w:val="00B35E58"/>
    <w:rsid w:val="00B662C8"/>
    <w:rsid w:val="00BE621B"/>
    <w:rsid w:val="00CC01B8"/>
    <w:rsid w:val="00CD2D4B"/>
    <w:rsid w:val="00CE1666"/>
    <w:rsid w:val="00D27D3B"/>
    <w:rsid w:val="00D32D05"/>
    <w:rsid w:val="00D71763"/>
    <w:rsid w:val="00DB4C41"/>
    <w:rsid w:val="00E40F62"/>
    <w:rsid w:val="00E6203B"/>
    <w:rsid w:val="00F102A1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E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3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7B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43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7BA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4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7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E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3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7B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43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7BA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4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0CC0-0ECC-470A-8B32-99CAA493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27</cp:revision>
  <cp:lastPrinted>2015-05-13T09:04:00Z</cp:lastPrinted>
  <dcterms:created xsi:type="dcterms:W3CDTF">2015-01-19T09:22:00Z</dcterms:created>
  <dcterms:modified xsi:type="dcterms:W3CDTF">2015-05-19T02:05:00Z</dcterms:modified>
</cp:coreProperties>
</file>