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24" w:rsidRPr="007F2594" w:rsidRDefault="00633046" w:rsidP="007F2594">
      <w:pPr>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5137785</wp:posOffset>
                </wp:positionH>
                <wp:positionV relativeFrom="paragraph">
                  <wp:posOffset>-447040</wp:posOffset>
                </wp:positionV>
                <wp:extent cx="800100" cy="397510"/>
                <wp:effectExtent l="0" t="0" r="19050" b="215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7510"/>
                        </a:xfrm>
                        <a:prstGeom prst="rect">
                          <a:avLst/>
                        </a:prstGeom>
                        <a:solidFill>
                          <a:srgbClr val="FFFFFF"/>
                        </a:solidFill>
                        <a:ln w="9525">
                          <a:solidFill>
                            <a:srgbClr val="000000"/>
                          </a:solidFill>
                          <a:miter lim="800000"/>
                          <a:headEnd/>
                          <a:tailEnd/>
                        </a:ln>
                      </wps:spPr>
                      <wps:txbx>
                        <w:txbxContent>
                          <w:p w:rsidR="00633046" w:rsidRPr="00EE61FA" w:rsidRDefault="00633046" w:rsidP="00EE61FA">
                            <w:pPr>
                              <w:autoSpaceDE w:val="0"/>
                              <w:autoSpaceDN w:val="0"/>
                              <w:adjustRightInd w:val="0"/>
                              <w:jc w:val="right"/>
                              <w:rPr>
                                <w:rFonts w:ascii="ＭＳ ゴシック" w:eastAsia="ＭＳ ゴシック" w:hAnsi="ＭＳ ゴシック"/>
                                <w:sz w:val="28"/>
                                <w:szCs w:val="28"/>
                              </w:rPr>
                            </w:pPr>
                            <w:r w:rsidRPr="00EE61FA">
                              <w:rPr>
                                <w:rFonts w:ascii="ＭＳ ゴシック" w:eastAsia="ＭＳ ゴシック" w:hAnsi="ＭＳ ゴシック" w:hint="eastAsia"/>
                                <w:sz w:val="28"/>
                                <w:szCs w:val="28"/>
                              </w:rPr>
                              <w:t>資料</w:t>
                            </w:r>
                            <w:r>
                              <w:rPr>
                                <w:rFonts w:ascii="ＭＳ ゴシック" w:eastAsia="ＭＳ ゴシック" w:hAnsi="ＭＳ ゴシック" w:hint="eastAsia"/>
                                <w:sz w:val="28"/>
                                <w:szCs w:val="28"/>
                              </w:rPr>
                              <w:t>2-1</w:t>
                            </w:r>
                            <w:r w:rsidRPr="00EE61FA">
                              <w:rPr>
                                <w:rFonts w:ascii="ＭＳ ゴシック" w:eastAsia="ＭＳ ゴシック" w:hAnsi="ＭＳ ゴシック" w:hint="eastAsia"/>
                                <w:sz w:val="28"/>
                                <w:szCs w:val="28"/>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04.55pt;margin-top:-35.2pt;width:63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">
                <v:textbox inset="5.85pt,.7pt,5.85pt,.7pt">
                  <w:txbxContent>
                    <w:p w:rsidR="00633046" w:rsidRPr="00EE61FA" w:rsidRDefault="00633046" w:rsidP="00EE61FA">
                      <w:pPr>
                        <w:autoSpaceDE w:val="0"/>
                        <w:autoSpaceDN w:val="0"/>
                        <w:adjustRightInd w:val="0"/>
                        <w:jc w:val="right"/>
                        <w:rPr>
                          <w:rFonts w:ascii="ＭＳ ゴシック" w:eastAsia="ＭＳ ゴシック" w:hAnsi="ＭＳ ゴシック"/>
                          <w:sz w:val="28"/>
                          <w:szCs w:val="28"/>
                        </w:rPr>
                      </w:pPr>
                      <w:r w:rsidRPr="00EE61FA">
                        <w:rPr>
                          <w:rFonts w:ascii="ＭＳ ゴシック" w:eastAsia="ＭＳ ゴシック" w:hAnsi="ＭＳ ゴシック" w:hint="eastAsia"/>
                          <w:sz w:val="28"/>
                          <w:szCs w:val="28"/>
                        </w:rPr>
                        <w:t>資料</w:t>
                      </w:r>
                      <w:r>
                        <w:rPr>
                          <w:rFonts w:ascii="ＭＳ ゴシック" w:eastAsia="ＭＳ ゴシック" w:hAnsi="ＭＳ ゴシック" w:hint="eastAsia"/>
                          <w:sz w:val="28"/>
                          <w:szCs w:val="28"/>
                        </w:rPr>
                        <w:t>2-1</w:t>
                      </w:r>
                      <w:r w:rsidRPr="00EE61FA">
                        <w:rPr>
                          <w:rFonts w:ascii="ＭＳ ゴシック" w:eastAsia="ＭＳ ゴシック" w:hAnsi="ＭＳ ゴシック" w:hint="eastAsia"/>
                          <w:sz w:val="28"/>
                          <w:szCs w:val="28"/>
                        </w:rPr>
                        <w:t>１</w:t>
                      </w:r>
                    </w:p>
                  </w:txbxContent>
                </v:textbox>
              </v:rect>
            </w:pict>
          </mc:Fallback>
        </mc:AlternateContent>
      </w:r>
      <w:r w:rsidR="005E2483" w:rsidRPr="007F2594">
        <w:rPr>
          <w:rFonts w:asciiTheme="majorEastAsia" w:eastAsiaTheme="majorEastAsia" w:hAnsiTheme="majorEastAsia" w:hint="eastAsia"/>
          <w:sz w:val="24"/>
          <w:szCs w:val="24"/>
        </w:rPr>
        <w:t>平成２６年度研究会での</w:t>
      </w:r>
      <w:r w:rsidR="007F7FC1" w:rsidRPr="007F2594">
        <w:rPr>
          <w:rFonts w:asciiTheme="majorEastAsia" w:eastAsiaTheme="majorEastAsia" w:hAnsiTheme="majorEastAsia" w:hint="eastAsia"/>
          <w:sz w:val="24"/>
          <w:szCs w:val="24"/>
        </w:rPr>
        <w:t>議論</w:t>
      </w:r>
      <w:r w:rsidR="005E2483" w:rsidRPr="007F2594">
        <w:rPr>
          <w:rFonts w:asciiTheme="majorEastAsia" w:eastAsiaTheme="majorEastAsia" w:hAnsiTheme="majorEastAsia" w:hint="eastAsia"/>
          <w:sz w:val="24"/>
          <w:szCs w:val="24"/>
        </w:rPr>
        <w:t>の方向性及び論点</w:t>
      </w:r>
    </w:p>
    <w:p w:rsidR="005E2483" w:rsidRPr="007F7FC1" w:rsidRDefault="005E2483"/>
    <w:p w:rsidR="009D7E67" w:rsidRPr="007F2594" w:rsidRDefault="005E2483">
      <w:pPr>
        <w:rPr>
          <w:rFonts w:asciiTheme="majorEastAsia" w:eastAsiaTheme="majorEastAsia" w:hAnsiTheme="majorEastAsia"/>
        </w:rPr>
      </w:pPr>
      <w:r w:rsidRPr="007F2594">
        <w:rPr>
          <w:rFonts w:asciiTheme="majorEastAsia" w:eastAsiaTheme="majorEastAsia" w:hAnsiTheme="majorEastAsia" w:hint="eastAsia"/>
        </w:rPr>
        <w:t>１．</w:t>
      </w:r>
      <w:r w:rsidR="009D7E67" w:rsidRPr="007F2594">
        <w:rPr>
          <w:rFonts w:asciiTheme="majorEastAsia" w:eastAsiaTheme="majorEastAsia" w:hAnsiTheme="majorEastAsia" w:hint="eastAsia"/>
        </w:rPr>
        <w:t>平成２７年度からの保険財政共同安定化事業に係る拠出方法等について</w:t>
      </w:r>
    </w:p>
    <w:p w:rsidR="005E2483" w:rsidRPr="007F2594" w:rsidRDefault="009D7E67" w:rsidP="00C66763">
      <w:pPr>
        <w:ind w:firstLineChars="200" w:firstLine="420"/>
        <w:jc w:val="right"/>
        <w:rPr>
          <w:rFonts w:asciiTheme="majorEastAsia" w:eastAsiaTheme="majorEastAsia" w:hAnsiTheme="majorEastAsia"/>
        </w:rPr>
      </w:pPr>
      <w:r w:rsidRPr="007F2594">
        <w:rPr>
          <w:rFonts w:asciiTheme="majorEastAsia" w:eastAsiaTheme="majorEastAsia" w:hAnsiTheme="majorEastAsia" w:hint="eastAsia"/>
        </w:rPr>
        <w:t>（</w:t>
      </w:r>
      <w:r w:rsidR="005E2483" w:rsidRPr="007F2594">
        <w:rPr>
          <w:rFonts w:asciiTheme="majorEastAsia" w:eastAsiaTheme="majorEastAsia" w:hAnsiTheme="majorEastAsia" w:hint="eastAsia"/>
        </w:rPr>
        <w:t>財政運営ワーキング・グループ</w:t>
      </w:r>
      <w:r w:rsidRPr="007F2594">
        <w:rPr>
          <w:rFonts w:asciiTheme="majorEastAsia" w:eastAsiaTheme="majorEastAsia" w:hAnsiTheme="majorEastAsia" w:hint="eastAsia"/>
        </w:rPr>
        <w:t>）</w:t>
      </w:r>
    </w:p>
    <w:p w:rsidR="009D7E67" w:rsidRPr="007F2594" w:rsidRDefault="009D7E67">
      <w:pPr>
        <w:rPr>
          <w:rFonts w:asciiTheme="majorEastAsia" w:eastAsiaTheme="majorEastAsia" w:hAnsiTheme="majorEastAsia"/>
        </w:rPr>
      </w:pPr>
      <w:r w:rsidRPr="007F2594">
        <w:rPr>
          <w:rFonts w:asciiTheme="majorEastAsia" w:eastAsiaTheme="majorEastAsia" w:hAnsiTheme="majorEastAsia" w:hint="eastAsia"/>
        </w:rPr>
        <w:t xml:space="preserve">　</w:t>
      </w:r>
      <w:r w:rsidR="00C66763" w:rsidRPr="007F2594">
        <w:rPr>
          <w:rFonts w:asciiTheme="majorEastAsia" w:eastAsiaTheme="majorEastAsia" w:hAnsiTheme="majorEastAsia" w:hint="eastAsia"/>
        </w:rPr>
        <w:t>【方向性】</w:t>
      </w:r>
    </w:p>
    <w:p w:rsidR="00C66763" w:rsidRDefault="00C66763" w:rsidP="00C66763">
      <w:pPr>
        <w:ind w:left="630" w:hangingChars="300" w:hanging="630"/>
      </w:pPr>
      <w:r>
        <w:rPr>
          <w:rFonts w:hint="eastAsia"/>
        </w:rPr>
        <w:t xml:space="preserve">　　○　平成２７年度からの保険財政共同安定化事業の１円化に伴う事業規模の拡大による拠出額、交付額の増嵩を見据え、さらなる保険料（税）算定への適切な反映を推進</w:t>
      </w:r>
    </w:p>
    <w:p w:rsidR="00C66763" w:rsidRDefault="00C66763" w:rsidP="00C66763">
      <w:pPr>
        <w:ind w:left="630" w:hangingChars="300" w:hanging="630"/>
      </w:pPr>
      <w:r>
        <w:rPr>
          <w:rFonts w:hint="eastAsia"/>
        </w:rPr>
        <w:t xml:space="preserve">　　○　平成２９年度からの都道府県化にあたっては、大阪府及び府内市町村の総意である「府内統一保険料率」が実現する前提で議論</w:t>
      </w:r>
    </w:p>
    <w:p w:rsidR="00C66763" w:rsidRPr="00C66763" w:rsidRDefault="00C66763" w:rsidP="00C66763">
      <w:pPr>
        <w:ind w:left="630" w:hangingChars="300" w:hanging="630"/>
      </w:pPr>
      <w:r>
        <w:rPr>
          <w:rFonts w:hint="eastAsia"/>
        </w:rPr>
        <w:t xml:space="preserve">　　○　</w:t>
      </w:r>
      <w:r w:rsidR="00901342">
        <w:rPr>
          <w:rFonts w:hint="eastAsia"/>
        </w:rPr>
        <w:t>「府内統一保険料率」を導入する場合、被保険者への急激な負担増加を避けるためには、</w:t>
      </w:r>
      <w:bookmarkStart w:id="0" w:name="_GoBack"/>
      <w:r w:rsidR="00901342">
        <w:rPr>
          <w:rFonts w:hint="eastAsia"/>
        </w:rPr>
        <w:t>所得水準による調整を含む更なる財政調整は不可避</w:t>
      </w:r>
    </w:p>
    <w:bookmarkEnd w:id="0"/>
    <w:p w:rsidR="00C66763" w:rsidRPr="007F2594" w:rsidRDefault="00C66763">
      <w:pPr>
        <w:rPr>
          <w:rFonts w:asciiTheme="majorEastAsia" w:eastAsiaTheme="majorEastAsia" w:hAnsiTheme="majorEastAsia"/>
        </w:rPr>
      </w:pPr>
      <w:r>
        <w:rPr>
          <w:rFonts w:hint="eastAsia"/>
        </w:rPr>
        <w:t xml:space="preserve">　</w:t>
      </w:r>
      <w:r w:rsidRPr="007F2594">
        <w:rPr>
          <w:rFonts w:asciiTheme="majorEastAsia" w:eastAsiaTheme="majorEastAsia" w:hAnsiTheme="majorEastAsia" w:hint="eastAsia"/>
        </w:rPr>
        <w:t>【論　点】</w:t>
      </w:r>
    </w:p>
    <w:p w:rsidR="005E2483" w:rsidRDefault="00901342">
      <w:r>
        <w:rPr>
          <w:rFonts w:hint="eastAsia"/>
        </w:rPr>
        <w:t xml:space="preserve">　　○　保険財政共同安定化事業の拠出方法における所得割の拡充</w:t>
      </w:r>
    </w:p>
    <w:p w:rsidR="00901342" w:rsidRDefault="00901342">
      <w:r>
        <w:rPr>
          <w:rFonts w:hint="eastAsia"/>
        </w:rPr>
        <w:t xml:space="preserve">　　○　所得格差是正のための府普通調整交付金での財政調整</w:t>
      </w:r>
    </w:p>
    <w:p w:rsidR="005E2483" w:rsidRDefault="00901342" w:rsidP="00901342">
      <w:pPr>
        <w:ind w:left="630" w:hangingChars="300" w:hanging="630"/>
      </w:pPr>
      <w:r>
        <w:rPr>
          <w:rFonts w:hint="eastAsia"/>
        </w:rPr>
        <w:t xml:space="preserve">　　○　保険財政共同安定化事業の１円化に伴う医療費拡大と拠出方法に所得割を導入する場合の府特別調整交付金での激変緩和措置の手法</w:t>
      </w:r>
    </w:p>
    <w:p w:rsidR="00901342" w:rsidRPr="00ED76BD" w:rsidRDefault="00901342"/>
    <w:p w:rsidR="009D7E67" w:rsidRPr="007F2594" w:rsidRDefault="005E2483">
      <w:pPr>
        <w:rPr>
          <w:rFonts w:asciiTheme="majorEastAsia" w:eastAsiaTheme="majorEastAsia" w:hAnsiTheme="majorEastAsia"/>
        </w:rPr>
      </w:pPr>
      <w:r w:rsidRPr="007F2594">
        <w:rPr>
          <w:rFonts w:asciiTheme="majorEastAsia" w:eastAsiaTheme="majorEastAsia" w:hAnsiTheme="majorEastAsia" w:hint="eastAsia"/>
        </w:rPr>
        <w:t>２．</w:t>
      </w:r>
      <w:r w:rsidR="009D7E67" w:rsidRPr="007F2594">
        <w:rPr>
          <w:rFonts w:asciiTheme="majorEastAsia" w:eastAsiaTheme="majorEastAsia" w:hAnsiTheme="majorEastAsia" w:hint="eastAsia"/>
        </w:rPr>
        <w:t>保険料収納対策に対する府特別調整交付金での評価等について</w:t>
      </w:r>
    </w:p>
    <w:p w:rsidR="005E2483" w:rsidRPr="007F2594" w:rsidRDefault="009D7E67" w:rsidP="00C66763">
      <w:pPr>
        <w:ind w:firstLineChars="200" w:firstLine="420"/>
        <w:jc w:val="right"/>
        <w:rPr>
          <w:rFonts w:asciiTheme="majorEastAsia" w:eastAsiaTheme="majorEastAsia" w:hAnsiTheme="majorEastAsia"/>
        </w:rPr>
      </w:pPr>
      <w:r w:rsidRPr="007F2594">
        <w:rPr>
          <w:rFonts w:asciiTheme="majorEastAsia" w:eastAsiaTheme="majorEastAsia" w:hAnsiTheme="majorEastAsia" w:hint="eastAsia"/>
        </w:rPr>
        <w:t>（</w:t>
      </w:r>
      <w:r w:rsidR="005E2483" w:rsidRPr="007F2594">
        <w:rPr>
          <w:rFonts w:asciiTheme="majorEastAsia" w:eastAsiaTheme="majorEastAsia" w:hAnsiTheme="majorEastAsia" w:hint="eastAsia"/>
        </w:rPr>
        <w:t>標準</w:t>
      </w:r>
      <w:r w:rsidR="007F7FC1" w:rsidRPr="007F2594">
        <w:rPr>
          <w:rFonts w:asciiTheme="majorEastAsia" w:eastAsiaTheme="majorEastAsia" w:hAnsiTheme="majorEastAsia" w:hint="eastAsia"/>
        </w:rPr>
        <w:t>設定ワーキング・グループ</w:t>
      </w:r>
      <w:r w:rsidRPr="007F2594">
        <w:rPr>
          <w:rFonts w:asciiTheme="majorEastAsia" w:eastAsiaTheme="majorEastAsia" w:hAnsiTheme="majorEastAsia" w:hint="eastAsia"/>
        </w:rPr>
        <w:t>）</w:t>
      </w:r>
    </w:p>
    <w:p w:rsidR="009D7E67" w:rsidRPr="007F2594" w:rsidRDefault="00C66763" w:rsidP="009D7E67">
      <w:pPr>
        <w:rPr>
          <w:rFonts w:asciiTheme="majorEastAsia" w:eastAsiaTheme="majorEastAsia" w:hAnsiTheme="majorEastAsia"/>
        </w:rPr>
      </w:pPr>
      <w:r w:rsidRPr="007F2594">
        <w:rPr>
          <w:rFonts w:asciiTheme="majorEastAsia" w:eastAsiaTheme="majorEastAsia" w:hAnsiTheme="majorEastAsia" w:hint="eastAsia"/>
        </w:rPr>
        <w:t xml:space="preserve">　【方向性】</w:t>
      </w:r>
    </w:p>
    <w:p w:rsidR="00901342" w:rsidRDefault="00901342" w:rsidP="00EA4576">
      <w:pPr>
        <w:ind w:left="630" w:hangingChars="300" w:hanging="630"/>
      </w:pPr>
      <w:r>
        <w:rPr>
          <w:rFonts w:hint="eastAsia"/>
        </w:rPr>
        <w:t xml:space="preserve">　　○　収納率の高い市町村</w:t>
      </w:r>
      <w:r w:rsidR="00EA4576">
        <w:rPr>
          <w:rFonts w:hint="eastAsia"/>
        </w:rPr>
        <w:t>に対する評価、収納率向上の取組みに対する評価や滞納繰越分に対する評価について必要な見直し</w:t>
      </w:r>
    </w:p>
    <w:p w:rsidR="00C66763" w:rsidRPr="007F2594" w:rsidRDefault="00C66763" w:rsidP="009D7E67">
      <w:pPr>
        <w:rPr>
          <w:rFonts w:asciiTheme="majorEastAsia" w:eastAsiaTheme="majorEastAsia" w:hAnsiTheme="majorEastAsia"/>
        </w:rPr>
      </w:pPr>
      <w:r>
        <w:rPr>
          <w:rFonts w:hint="eastAsia"/>
        </w:rPr>
        <w:t xml:space="preserve">　</w:t>
      </w:r>
      <w:r w:rsidRPr="007F2594">
        <w:rPr>
          <w:rFonts w:asciiTheme="majorEastAsia" w:eastAsiaTheme="majorEastAsia" w:hAnsiTheme="majorEastAsia" w:hint="eastAsia"/>
        </w:rPr>
        <w:t>【論　点】</w:t>
      </w:r>
    </w:p>
    <w:p w:rsidR="00ED76BD" w:rsidRDefault="00EA4576" w:rsidP="009D7E67">
      <w:r>
        <w:rPr>
          <w:rFonts w:hint="eastAsia"/>
        </w:rPr>
        <w:t xml:space="preserve">　　○　</w:t>
      </w:r>
      <w:r w:rsidR="00ED76BD">
        <w:rPr>
          <w:rFonts w:hint="eastAsia"/>
        </w:rPr>
        <w:t>府特別調整交付金も含めた改善</w:t>
      </w:r>
    </w:p>
    <w:p w:rsidR="00EA4576" w:rsidRDefault="00ED76BD" w:rsidP="00ED76BD">
      <w:pPr>
        <w:ind w:firstLineChars="300" w:firstLine="630"/>
      </w:pPr>
      <w:r>
        <w:rPr>
          <w:rFonts w:hint="eastAsia"/>
        </w:rPr>
        <w:t>・</w:t>
      </w:r>
      <w:r w:rsidR="00EA4576">
        <w:rPr>
          <w:rFonts w:hint="eastAsia"/>
        </w:rPr>
        <w:t>高い収納率の市町村が評価されるための改善</w:t>
      </w:r>
    </w:p>
    <w:p w:rsidR="00ED76BD" w:rsidRDefault="00ED76BD" w:rsidP="00ED76BD">
      <w:pPr>
        <w:ind w:firstLineChars="300" w:firstLine="630"/>
      </w:pPr>
      <w:r>
        <w:rPr>
          <w:rFonts w:hint="eastAsia"/>
        </w:rPr>
        <w:t>・収納率向上に資する取組みが評価され支援するための改善</w:t>
      </w:r>
    </w:p>
    <w:p w:rsidR="00ED76BD" w:rsidRDefault="00ED76BD" w:rsidP="00ED76BD">
      <w:pPr>
        <w:ind w:firstLineChars="300" w:firstLine="630"/>
      </w:pPr>
      <w:r>
        <w:rPr>
          <w:rFonts w:hint="eastAsia"/>
        </w:rPr>
        <w:t>・滞納繰越分の収納率向上を誘導する施策</w:t>
      </w:r>
    </w:p>
    <w:p w:rsidR="009D7E67" w:rsidRDefault="009D7E67" w:rsidP="009D7E67"/>
    <w:p w:rsidR="00947FE9" w:rsidRDefault="009D7E67" w:rsidP="007F2594">
      <w:pPr>
        <w:rPr>
          <w:rFonts w:asciiTheme="majorEastAsia" w:eastAsiaTheme="majorEastAsia" w:hAnsiTheme="majorEastAsia"/>
        </w:rPr>
      </w:pPr>
      <w:r w:rsidRPr="007F2594">
        <w:rPr>
          <w:rFonts w:asciiTheme="majorEastAsia" w:eastAsiaTheme="majorEastAsia" w:hAnsiTheme="majorEastAsia" w:hint="eastAsia"/>
        </w:rPr>
        <w:t>３．収納促進対策について</w:t>
      </w:r>
    </w:p>
    <w:p w:rsidR="009D7E67" w:rsidRPr="007F2594" w:rsidRDefault="007F2594" w:rsidP="00947FE9">
      <w:pPr>
        <w:jc w:val="right"/>
        <w:rPr>
          <w:rFonts w:asciiTheme="majorEastAsia" w:eastAsiaTheme="majorEastAsia" w:hAnsiTheme="majorEastAsia"/>
        </w:rPr>
      </w:pPr>
      <w:r w:rsidRPr="007F2594">
        <w:rPr>
          <w:rFonts w:asciiTheme="majorEastAsia" w:eastAsiaTheme="majorEastAsia" w:hAnsiTheme="majorEastAsia" w:hint="eastAsia"/>
        </w:rPr>
        <w:t xml:space="preserve">　　　　</w:t>
      </w:r>
      <w:r w:rsidR="009D7E67" w:rsidRPr="007F2594">
        <w:rPr>
          <w:rFonts w:asciiTheme="majorEastAsia" w:eastAsiaTheme="majorEastAsia" w:hAnsiTheme="majorEastAsia" w:hint="eastAsia"/>
        </w:rPr>
        <w:t xml:space="preserve">　（標準設定ワーキング・グループ、収納促進対策連絡会議）</w:t>
      </w:r>
    </w:p>
    <w:p w:rsidR="009D7E67" w:rsidRPr="007F2594" w:rsidRDefault="00C66763" w:rsidP="009D7E67">
      <w:pPr>
        <w:rPr>
          <w:rFonts w:asciiTheme="majorEastAsia" w:eastAsiaTheme="majorEastAsia" w:hAnsiTheme="majorEastAsia"/>
        </w:rPr>
      </w:pPr>
      <w:r w:rsidRPr="007F2594">
        <w:rPr>
          <w:rFonts w:asciiTheme="majorEastAsia" w:eastAsiaTheme="majorEastAsia" w:hAnsiTheme="majorEastAsia" w:hint="eastAsia"/>
        </w:rPr>
        <w:t xml:space="preserve">　【方向性】</w:t>
      </w:r>
    </w:p>
    <w:p w:rsidR="00ED76BD" w:rsidRDefault="00ED76BD" w:rsidP="009D7E67">
      <w:r>
        <w:rPr>
          <w:rFonts w:hint="eastAsia"/>
        </w:rPr>
        <w:t xml:space="preserve">　　○　平成２６年度も研修会などの事業を実施</w:t>
      </w:r>
    </w:p>
    <w:p w:rsidR="00C66763" w:rsidRPr="007F2594" w:rsidRDefault="00C66763" w:rsidP="009D7E67">
      <w:pPr>
        <w:rPr>
          <w:rFonts w:asciiTheme="majorEastAsia" w:eastAsiaTheme="majorEastAsia" w:hAnsiTheme="majorEastAsia"/>
        </w:rPr>
      </w:pPr>
      <w:r>
        <w:rPr>
          <w:rFonts w:hint="eastAsia"/>
        </w:rPr>
        <w:t xml:space="preserve">　</w:t>
      </w:r>
      <w:r w:rsidRPr="007F2594">
        <w:rPr>
          <w:rFonts w:asciiTheme="majorEastAsia" w:eastAsiaTheme="majorEastAsia" w:hAnsiTheme="majorEastAsia" w:hint="eastAsia"/>
        </w:rPr>
        <w:t>【論　点】</w:t>
      </w:r>
    </w:p>
    <w:p w:rsidR="00ED76BD" w:rsidRDefault="00ED76BD" w:rsidP="009D7E67">
      <w:r>
        <w:rPr>
          <w:rFonts w:hint="eastAsia"/>
        </w:rPr>
        <w:t xml:space="preserve">　　○　国民健康保険収納事務担当者研修会の具体的内容</w:t>
      </w:r>
    </w:p>
    <w:p w:rsidR="009D7E67" w:rsidRDefault="009D7E67" w:rsidP="009D7E67"/>
    <w:p w:rsidR="009D7E67" w:rsidRPr="007F2594" w:rsidRDefault="009D7E67" w:rsidP="009D7E67">
      <w:pPr>
        <w:rPr>
          <w:rFonts w:asciiTheme="majorEastAsia" w:eastAsiaTheme="majorEastAsia" w:hAnsiTheme="majorEastAsia"/>
        </w:rPr>
      </w:pPr>
      <w:r w:rsidRPr="007F2594">
        <w:rPr>
          <w:rFonts w:asciiTheme="majorEastAsia" w:eastAsiaTheme="majorEastAsia" w:hAnsiTheme="majorEastAsia" w:hint="eastAsia"/>
        </w:rPr>
        <w:t>４．保健事業（特定健診受診率</w:t>
      </w:r>
      <w:r w:rsidR="0011557D" w:rsidRPr="007F2594">
        <w:rPr>
          <w:rFonts w:asciiTheme="majorEastAsia" w:eastAsiaTheme="majorEastAsia" w:hAnsiTheme="majorEastAsia" w:hint="eastAsia"/>
        </w:rPr>
        <w:t>・特定保健指導実施率の向上）の事業運営の広域化</w:t>
      </w:r>
      <w:r w:rsidR="00947FE9">
        <w:rPr>
          <w:rFonts w:asciiTheme="majorEastAsia" w:eastAsiaTheme="majorEastAsia" w:hAnsiTheme="majorEastAsia" w:hint="eastAsia"/>
        </w:rPr>
        <w:t>について</w:t>
      </w:r>
    </w:p>
    <w:p w:rsidR="0011557D" w:rsidRPr="007F2594" w:rsidRDefault="0011557D" w:rsidP="00C66763">
      <w:pPr>
        <w:jc w:val="right"/>
        <w:rPr>
          <w:rFonts w:asciiTheme="majorEastAsia" w:eastAsiaTheme="majorEastAsia" w:hAnsiTheme="majorEastAsia"/>
        </w:rPr>
      </w:pPr>
      <w:r w:rsidRPr="007F2594">
        <w:rPr>
          <w:rFonts w:asciiTheme="majorEastAsia" w:eastAsiaTheme="majorEastAsia" w:hAnsiTheme="majorEastAsia" w:hint="eastAsia"/>
        </w:rPr>
        <w:t xml:space="preserve">　　（標準設定ワーキング・グループ）</w:t>
      </w:r>
    </w:p>
    <w:p w:rsidR="007F2594" w:rsidRPr="007F2594" w:rsidRDefault="00C66763" w:rsidP="00C66763">
      <w:pPr>
        <w:ind w:right="840"/>
        <w:rPr>
          <w:rFonts w:asciiTheme="majorEastAsia" w:eastAsiaTheme="majorEastAsia" w:hAnsiTheme="majorEastAsia"/>
        </w:rPr>
      </w:pPr>
      <w:r w:rsidRPr="007F2594">
        <w:rPr>
          <w:rFonts w:asciiTheme="majorEastAsia" w:eastAsiaTheme="majorEastAsia" w:hAnsiTheme="majorEastAsia" w:hint="eastAsia"/>
        </w:rPr>
        <w:t xml:space="preserve">　【方向性】</w:t>
      </w:r>
    </w:p>
    <w:p w:rsidR="00ED76BD" w:rsidRDefault="00ED76BD" w:rsidP="007F2594">
      <w:pPr>
        <w:ind w:leftChars="200" w:left="630" w:hangingChars="100" w:hanging="210"/>
      </w:pPr>
      <w:r>
        <w:rPr>
          <w:rFonts w:hint="eastAsia"/>
        </w:rPr>
        <w:t>○　次期支援方針に、新たに保健事業（特定健診受診率、特定保健指導</w:t>
      </w:r>
      <w:r w:rsidR="007F2594">
        <w:rPr>
          <w:rFonts w:hint="eastAsia"/>
        </w:rPr>
        <w:t>実施率の向上）を位置付けする方向で検討</w:t>
      </w:r>
    </w:p>
    <w:p w:rsidR="00C66763" w:rsidRPr="007F2594" w:rsidRDefault="00C66763" w:rsidP="00C66763">
      <w:pPr>
        <w:ind w:right="840"/>
        <w:rPr>
          <w:rFonts w:asciiTheme="majorEastAsia" w:eastAsiaTheme="majorEastAsia" w:hAnsiTheme="majorEastAsia"/>
        </w:rPr>
      </w:pPr>
      <w:r w:rsidRPr="007F2594">
        <w:rPr>
          <w:rFonts w:asciiTheme="majorEastAsia" w:eastAsiaTheme="majorEastAsia" w:hAnsiTheme="majorEastAsia" w:hint="eastAsia"/>
        </w:rPr>
        <w:t xml:space="preserve">　【論　点】</w:t>
      </w:r>
    </w:p>
    <w:p w:rsidR="007F2594" w:rsidRPr="005E2483" w:rsidRDefault="007F2594" w:rsidP="00C66763">
      <w:pPr>
        <w:ind w:right="840"/>
      </w:pPr>
      <w:r>
        <w:rPr>
          <w:rFonts w:hint="eastAsia"/>
        </w:rPr>
        <w:t xml:space="preserve">　　○　次期支援方針に位置づける保健事業の具体的内容</w:t>
      </w:r>
    </w:p>
    <w:sectPr w:rsidR="007F2594" w:rsidRPr="005E2483" w:rsidSect="00947FE9">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35" w:rsidRDefault="007C1235" w:rsidP="0011557D">
      <w:r>
        <w:separator/>
      </w:r>
    </w:p>
  </w:endnote>
  <w:endnote w:type="continuationSeparator" w:id="0">
    <w:p w:rsidR="007C1235" w:rsidRDefault="007C1235" w:rsidP="0011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35" w:rsidRDefault="007C1235" w:rsidP="0011557D">
      <w:r>
        <w:separator/>
      </w:r>
    </w:p>
  </w:footnote>
  <w:footnote w:type="continuationSeparator" w:id="0">
    <w:p w:rsidR="007C1235" w:rsidRDefault="007C1235" w:rsidP="00115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83"/>
    <w:rsid w:val="0011557D"/>
    <w:rsid w:val="001A5DC9"/>
    <w:rsid w:val="004307B7"/>
    <w:rsid w:val="005E2483"/>
    <w:rsid w:val="00633046"/>
    <w:rsid w:val="007C1235"/>
    <w:rsid w:val="007F2594"/>
    <w:rsid w:val="007F7FC1"/>
    <w:rsid w:val="00901342"/>
    <w:rsid w:val="00947FE9"/>
    <w:rsid w:val="009C5624"/>
    <w:rsid w:val="009D7E67"/>
    <w:rsid w:val="00C66763"/>
    <w:rsid w:val="00EA4576"/>
    <w:rsid w:val="00ED7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483"/>
    <w:pPr>
      <w:ind w:leftChars="400" w:left="840"/>
    </w:pPr>
  </w:style>
  <w:style w:type="paragraph" w:styleId="a4">
    <w:name w:val="header"/>
    <w:basedOn w:val="a"/>
    <w:link w:val="a5"/>
    <w:uiPriority w:val="99"/>
    <w:unhideWhenUsed/>
    <w:rsid w:val="0011557D"/>
    <w:pPr>
      <w:tabs>
        <w:tab w:val="center" w:pos="4252"/>
        <w:tab w:val="right" w:pos="8504"/>
      </w:tabs>
      <w:snapToGrid w:val="0"/>
    </w:pPr>
  </w:style>
  <w:style w:type="character" w:customStyle="1" w:styleId="a5">
    <w:name w:val="ヘッダー (文字)"/>
    <w:basedOn w:val="a0"/>
    <w:link w:val="a4"/>
    <w:uiPriority w:val="99"/>
    <w:rsid w:val="0011557D"/>
  </w:style>
  <w:style w:type="paragraph" w:styleId="a6">
    <w:name w:val="footer"/>
    <w:basedOn w:val="a"/>
    <w:link w:val="a7"/>
    <w:uiPriority w:val="99"/>
    <w:unhideWhenUsed/>
    <w:rsid w:val="0011557D"/>
    <w:pPr>
      <w:tabs>
        <w:tab w:val="center" w:pos="4252"/>
        <w:tab w:val="right" w:pos="8504"/>
      </w:tabs>
      <w:snapToGrid w:val="0"/>
    </w:pPr>
  </w:style>
  <w:style w:type="character" w:customStyle="1" w:styleId="a7">
    <w:name w:val="フッター (文字)"/>
    <w:basedOn w:val="a0"/>
    <w:link w:val="a6"/>
    <w:uiPriority w:val="99"/>
    <w:rsid w:val="00115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483"/>
    <w:pPr>
      <w:ind w:leftChars="400" w:left="840"/>
    </w:pPr>
  </w:style>
  <w:style w:type="paragraph" w:styleId="a4">
    <w:name w:val="header"/>
    <w:basedOn w:val="a"/>
    <w:link w:val="a5"/>
    <w:uiPriority w:val="99"/>
    <w:unhideWhenUsed/>
    <w:rsid w:val="0011557D"/>
    <w:pPr>
      <w:tabs>
        <w:tab w:val="center" w:pos="4252"/>
        <w:tab w:val="right" w:pos="8504"/>
      </w:tabs>
      <w:snapToGrid w:val="0"/>
    </w:pPr>
  </w:style>
  <w:style w:type="character" w:customStyle="1" w:styleId="a5">
    <w:name w:val="ヘッダー (文字)"/>
    <w:basedOn w:val="a0"/>
    <w:link w:val="a4"/>
    <w:uiPriority w:val="99"/>
    <w:rsid w:val="0011557D"/>
  </w:style>
  <w:style w:type="paragraph" w:styleId="a6">
    <w:name w:val="footer"/>
    <w:basedOn w:val="a"/>
    <w:link w:val="a7"/>
    <w:uiPriority w:val="99"/>
    <w:unhideWhenUsed/>
    <w:rsid w:val="0011557D"/>
    <w:pPr>
      <w:tabs>
        <w:tab w:val="center" w:pos="4252"/>
        <w:tab w:val="right" w:pos="8504"/>
      </w:tabs>
      <w:snapToGrid w:val="0"/>
    </w:pPr>
  </w:style>
  <w:style w:type="character" w:customStyle="1" w:styleId="a7">
    <w:name w:val="フッター (文字)"/>
    <w:basedOn w:val="a0"/>
    <w:link w:val="a6"/>
    <w:uiPriority w:val="99"/>
    <w:rsid w:val="00115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508A-2223-41D2-84F9-925B8E83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7</cp:revision>
  <cp:lastPrinted>2014-06-25T00:31:00Z</cp:lastPrinted>
  <dcterms:created xsi:type="dcterms:W3CDTF">2014-05-21T05:11:00Z</dcterms:created>
  <dcterms:modified xsi:type="dcterms:W3CDTF">2014-06-25T05:21:00Z</dcterms:modified>
</cp:coreProperties>
</file>