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06F6" w:rsidRPr="00086C71" w:rsidRDefault="008D589A" w:rsidP="009806F6">
      <w:pPr>
        <w:jc w:val="center"/>
        <w:rPr>
          <w:rFonts w:asciiTheme="majorEastAsia" w:eastAsiaTheme="majorEastAsia" w:hAnsiTheme="majorEastAsia"/>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A641C70" wp14:editId="5DA3B93F">
                <wp:simplePos x="0" y="0"/>
                <wp:positionH relativeFrom="column">
                  <wp:posOffset>4966970</wp:posOffset>
                </wp:positionH>
                <wp:positionV relativeFrom="paragraph">
                  <wp:posOffset>-424180</wp:posOffset>
                </wp:positionV>
                <wp:extent cx="10477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589A" w:rsidRPr="00FC7FAF" w:rsidRDefault="008D589A" w:rsidP="008D58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r w:rsidR="00233F7F">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91.1pt;margin-top:-33.4pt;width: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" fillcolor="white [3201]" strokecolor="black [3213]">
                <v:textbox>
                  <w:txbxContent>
                    <w:p w:rsidR="008D589A" w:rsidRPr="00FC7FAF" w:rsidRDefault="008D589A" w:rsidP="008D58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r w:rsidR="00233F7F">
                        <w:rPr>
                          <w:rFonts w:asciiTheme="majorEastAsia" w:eastAsiaTheme="majorEastAsia" w:hAnsiTheme="majorEastAsia" w:hint="eastAsia"/>
                          <w:sz w:val="24"/>
                          <w:szCs w:val="24"/>
                        </w:rPr>
                        <w:t>－１</w:t>
                      </w:r>
                    </w:p>
                  </w:txbxContent>
                </v:textbox>
              </v:rect>
            </w:pict>
          </mc:Fallback>
        </mc:AlternateContent>
      </w:r>
      <w:r w:rsidR="009806F6" w:rsidRPr="00086C71">
        <w:rPr>
          <w:rFonts w:asciiTheme="majorEastAsia" w:eastAsiaTheme="majorEastAsia" w:hAnsiTheme="majorEastAsia" w:hint="eastAsia"/>
          <w:sz w:val="24"/>
          <w:szCs w:val="24"/>
        </w:rPr>
        <w:t>第三次大阪府国民健康保険広域化等支援方針（案）</w:t>
      </w:r>
    </w:p>
    <w:p w:rsidR="009806F6" w:rsidRDefault="009806F6" w:rsidP="009806F6">
      <w:pPr>
        <w:rPr>
          <w:rFonts w:asciiTheme="minorEastAsia" w:eastAsiaTheme="minorEastAsia" w:hAnsiTheme="minorEastAsia"/>
        </w:rPr>
      </w:pP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１　基本事項</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(1) 目的</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国民健康保険制度は国民皆保険を支えるナショナル・ミニマムであり、本来、国において権限・財源・責任を一元的に担うことを基本とするべきものである。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現在の市町村国保においては、高齢化の進展、被保険者の低所得化とともに、医療費の増嵩、保険料収納率の低下など、構造的な課題を抱え厳しい財政状況となっている。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こうした中、平成25年12月、「持続可能な社会保障制度の確立を図るための改革の推進に関する法律」（社会保障制度改革プログラム法）が成立し、国民健康保険の運営について、財政運営を始めとして都道府県が担うことを基本としつつ、都道府県と市町村との適切な役割分担の下、平成29年度を目途に新たな国民健康保険制度（都道府県化）が実施される見通しであ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この方針は、新たな国民健康保険制度への円滑な移行を見据えつつ、それまでの間における府内市町村国保に共通する収納率などの目標設定や、医療費適正化の取組みなどを、一層推進するための方針として、国民健康保険法（昭和33年法律第192号）第68条の２に基づき策定するものである。</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(2) 期間</w:t>
      </w:r>
    </w:p>
    <w:p w:rsidR="009806F6" w:rsidRPr="009806F6" w:rsidRDefault="009806F6" w:rsidP="009806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この方針は、平成27年度以降の市町村の事務を対象とする。</w:t>
      </w:r>
    </w:p>
    <w:p w:rsidR="009806F6" w:rsidRPr="009806F6" w:rsidRDefault="009806F6" w:rsidP="009806F6">
      <w:pPr>
        <w:rPr>
          <w:rFonts w:asciiTheme="minorEastAsia" w:eastAsiaTheme="minorEastAsia" w:hAnsiTheme="minorEastAsia"/>
        </w:rPr>
      </w:pP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２　府内の市町村国保の現状</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全国的な傾向であるが、府内の市町村国保は、被保険者のうち低所得者が大半を占め、高齢者の割合が高いという構造的な課題を抱えている。これらが他の都道府県と比較しても著しいことなど構造的な要因から、府内市町村の国保財政は非常に厳しい状況となってい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平成25年度において、市町村保険者43団体のうち22団体が実質収支赤字で累積赤字の総額は約338億円、一般会計からの法定外繰入れを41団体が行っている（総額273億円）。また、保険料収納率（</w:t>
      </w:r>
      <w:r w:rsidR="004A2F55">
        <w:rPr>
          <w:rFonts w:asciiTheme="minorEastAsia" w:eastAsiaTheme="minorEastAsia" w:hAnsiTheme="minorEastAsia" w:hint="eastAsia"/>
        </w:rPr>
        <w:t>現年度分</w:t>
      </w:r>
      <w:r w:rsidRPr="009806F6">
        <w:rPr>
          <w:rFonts w:asciiTheme="minorEastAsia" w:eastAsiaTheme="minorEastAsia" w:hAnsiTheme="minorEastAsia" w:hint="eastAsia"/>
        </w:rPr>
        <w:t>）は、平成24年度の府平均が87.76％（全国46位）で平成24年度の全国平均（89.86％）を2.1ポイント程度下回っている。</w:t>
      </w:r>
    </w:p>
    <w:p w:rsidR="009806F6" w:rsidRPr="009806F6" w:rsidRDefault="009806F6" w:rsidP="009806F6">
      <w:pPr>
        <w:rPr>
          <w:rFonts w:asciiTheme="minorEastAsia" w:eastAsiaTheme="minorEastAsia" w:hAnsiTheme="minorEastAsia"/>
        </w:rPr>
      </w:pP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３　都道府県化を見据えた国保運営とこれに向けた府の役割</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市町村保険者は、それぞれの地域の課題に対応し国保財政の健全性を確保するため、これまでも保険料設定や収納対策、医療費適正化等に取り組んできたところである。しかしながら、市町村国保が抱える構造的な課題及び府の地域的な事情を強く反映して、現在も府内市町村国保の財政状況は厳しい状況が続いてい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こうした状況の下、平成29年度を目途とされる国保の都道府県化を見据え、財政の安定化、負担の公平化等を図っていくため、未だ全国の約４割を占める累積赤字の解消や収納率の向上など、国保運営のさらなる健全化を進めるとともに、保険料水準の平準化を推進していくこと</w:t>
      </w:r>
      <w:r w:rsidRPr="009806F6">
        <w:rPr>
          <w:rFonts w:asciiTheme="minorEastAsia" w:eastAsiaTheme="minorEastAsia" w:hAnsiTheme="minorEastAsia" w:hint="eastAsia"/>
        </w:rPr>
        <w:lastRenderedPageBreak/>
        <w:t>が喫緊の課題となっている。</w:t>
      </w:r>
    </w:p>
    <w:p w:rsidR="009806F6" w:rsidRPr="009806F6" w:rsidRDefault="009806F6" w:rsidP="009806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こうした国保の都道府県化に向けた取り組みの中で、府は保険者である市町村と都道府県化後の方向性を共有しつつ、それに向けた各市町村における取組みを支援し、及び市町村間の連携・協力を促進するなど、広域自治体として適切にリーダーシップを発揮することが求められている。</w:t>
      </w:r>
    </w:p>
    <w:p w:rsidR="009806F6" w:rsidRPr="009806F6" w:rsidRDefault="009806F6" w:rsidP="009806F6">
      <w:pPr>
        <w:rPr>
          <w:rFonts w:asciiTheme="minorEastAsia" w:eastAsiaTheme="minorEastAsia" w:hAnsiTheme="minorEastAsia"/>
        </w:rPr>
      </w:pP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４　具体的な施策</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(1) 事業運営の広域化等</w:t>
      </w:r>
    </w:p>
    <w:p w:rsidR="009806F6" w:rsidRPr="00086C71" w:rsidRDefault="009806F6" w:rsidP="009806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①　医療費適正化の推進</w:t>
      </w:r>
    </w:p>
    <w:p w:rsidR="009806F6" w:rsidRPr="009806F6" w:rsidRDefault="009806F6" w:rsidP="009806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ア　国民健康保険団体連合会のレセプト審査の強化</w:t>
      </w:r>
    </w:p>
    <w:p w:rsidR="009806F6" w:rsidRPr="009806F6" w:rsidRDefault="009806F6" w:rsidP="009806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イ　柔道整復等療養費の適正化</w:t>
      </w:r>
    </w:p>
    <w:p w:rsidR="009806F6" w:rsidRPr="009806F6" w:rsidRDefault="009806F6" w:rsidP="009806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府は、市町村から寄せられる不適切な請求に関する情報提供を活用し、効果的な指導・監査を実施する。また、市町村の柔道整復等療養費の適正化に向けた取組みに対し、必要な助言等を行う。</w:t>
      </w:r>
    </w:p>
    <w:p w:rsidR="009806F6" w:rsidRPr="009806F6" w:rsidRDefault="009806F6" w:rsidP="009806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ウ　ジェネリック医薬品についての啓発及び差額通知の推進</w:t>
      </w:r>
    </w:p>
    <w:p w:rsidR="009806F6" w:rsidRPr="00086C71" w:rsidRDefault="009806F6" w:rsidP="009806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②　保健事業の推進</w:t>
      </w:r>
    </w:p>
    <w:p w:rsidR="009806F6" w:rsidRPr="009806F6" w:rsidRDefault="009806F6" w:rsidP="009806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ア　特定健診受診率及び特定保健指導実施率の向上</w:t>
      </w:r>
    </w:p>
    <w:p w:rsidR="009806F6" w:rsidRPr="009806F6" w:rsidRDefault="009806F6" w:rsidP="009806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本府における特定健診受診率及び特定保健指導実施率については、平成24年度現在、多くの市町村において目標値と大きくかい離するとともに、府内平均が全国平均を大きく下回っており、特定健診受診率等の向上は喫緊の課題である。</w:t>
      </w:r>
    </w:p>
    <w:p w:rsidR="009806F6" w:rsidRPr="009806F6" w:rsidRDefault="009806F6" w:rsidP="009806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このことから、本府及び各市町村における国民健康保険部門と健康増進部門との連携を強化し、特定健診受診率等の向上に向け、各種会議や研修事業等を実施していくとともに、これらを通じて市町村間での情報共有、相互連携や効果的な事業展開について検討していく。</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イ　データヘルス計画の策定</w:t>
      </w:r>
    </w:p>
    <w:p w:rsidR="009806F6" w:rsidRPr="009806F6" w:rsidRDefault="009806F6" w:rsidP="000478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平成26年４月、厚生労働省が策定する「保健事業実施指針」が改正され、保険者は健康・医療情報を活用しＰＤＣＡサイクルに沿った効果的かつ効率的な保健事業の実施計画（データヘルス計画）を策定し、保健事業の実施及び評価を行うこととされたところであり、市町村におけるデータヘルス計画の策定について推進していく。</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ウ　行動変容推進事業</w:t>
      </w:r>
    </w:p>
    <w:p w:rsidR="009806F6" w:rsidRPr="009806F6" w:rsidRDefault="009806F6" w:rsidP="000478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平成25年度に大阪がん循環器病予防センターが策定した「汎用性の高い行動変容プログラム」等による市町村における行動変容事業を推進するとともに、府はこれらの市町村の取組みについてフォローアップ研修等を通じて支援する。</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エ　府特別調整交付金での支援</w:t>
      </w:r>
    </w:p>
    <w:p w:rsidR="009806F6" w:rsidRPr="009806F6" w:rsidRDefault="009806F6" w:rsidP="000478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府は、特定健診受診率等の向上に向けた取組みや、データヘルス計画の策定、その他の保健事業の推進について、府特別調整交付金により支援する。</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lastRenderedPageBreak/>
        <w:t>(2) 財政運営の広域化等</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①　保険財政共同安定化事業の拠出割合等</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平成18年10月から実施されている保険財政共同安定化事業の対象医療費及び同事業への拠出方法については、平成22年５月以降、国保法及び国民健康保険の国庫負担金等の算定に関する政令（昭和34年政令第41号）第20条の２の規定に基づき、都道府県が定める広域化等支援方針において一定の範囲内で特別な定めをすることができることとされ、本府においては、府内市町村の保険料率の平準化に資することを目的として、平成23年度以降、その拠出割合に一部所得割を導入してきたところである。</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平成27年度以降同事業の対象医療費が国保法改正により１円以上となるが、国保の都道府県化及びこれまでの経過等を踏まえ、同事業の平成27年度以降の拠出割合等について、次のとおり実施するものとする。</w:t>
      </w:r>
    </w:p>
    <w:p w:rsidR="000478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ア　拠出金の算出方法については、引き続き被保険者数割１／２、医療費実績割１／４、所得割１／４とする。</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イ　対象医療費が１円以上となったことによる影響を考慮の上、必要な激変緩和措置を府特別財政調整交付金により実施する。</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②　広域化等支援基金の活用</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市町村国保における広域的な取組みのための費用として広域化等支援基金の一部を充てる。</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rPr>
        <w:t xml:space="preserve"> </w:t>
      </w:r>
      <w:r w:rsidRPr="00086C71">
        <w:rPr>
          <w:rFonts w:asciiTheme="majorEastAsia" w:eastAsiaTheme="majorEastAsia" w:hAnsiTheme="majorEastAsia" w:hint="eastAsia"/>
        </w:rPr>
        <w:t>(3) 府内の標準設定</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①　収納率（現年度分）の規模別目標収納率の設定</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保険料収納率（</w:t>
      </w:r>
      <w:r w:rsidR="004A2F55">
        <w:rPr>
          <w:rFonts w:asciiTheme="minorEastAsia" w:eastAsiaTheme="minorEastAsia" w:hAnsiTheme="minorEastAsia" w:hint="eastAsia"/>
        </w:rPr>
        <w:t>現年度分</w:t>
      </w:r>
      <w:r w:rsidRPr="009806F6">
        <w:rPr>
          <w:rFonts w:asciiTheme="minorEastAsia" w:eastAsiaTheme="minorEastAsia" w:hAnsiTheme="minorEastAsia" w:hint="eastAsia"/>
        </w:rPr>
        <w:t>）は、本方針策定以前に比べ、かなり改善しているが、依然として、平成24年度において府平均が87.76％（全国46位）で平成24年度の全国平均（89.86％）を2.1ポイント程度下回っている。</w:t>
      </w:r>
    </w:p>
    <w:p w:rsidR="00234D05" w:rsidRDefault="009806F6" w:rsidP="00234D05">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府は、これまでも府平均が全国平均に達することを目標として掲げてきたところであるが、本方針においても全国平均を目標とし、その達成のため必要となる、本方針期間中の市町村の規模別目標収納率を、次のとおり定める。</w:t>
      </w:r>
    </w:p>
    <w:p w:rsidR="000478F6" w:rsidRDefault="00234D05" w:rsidP="00234D05">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また、規模別目標収納率の達成状況に応じ、府財政調整交付金による措置を行う。</w:t>
      </w:r>
    </w:p>
    <w:p w:rsidR="00234D05" w:rsidRDefault="00234D05" w:rsidP="00234D05">
      <w:pPr>
        <w:ind w:leftChars="200" w:left="420" w:firstLineChars="100" w:firstLine="210"/>
        <w:rPr>
          <w:rFonts w:asciiTheme="minorEastAsia" w:eastAsiaTheme="minorEastAsia" w:hAnsiTheme="minorEastAsia"/>
        </w:rPr>
      </w:pPr>
    </w:p>
    <w:tbl>
      <w:tblPr>
        <w:tblStyle w:val="a3"/>
        <w:tblW w:w="0" w:type="auto"/>
        <w:tblInd w:w="704" w:type="dxa"/>
        <w:tblLayout w:type="fixed"/>
        <w:tblLook w:val="04A0" w:firstRow="1" w:lastRow="0" w:firstColumn="1" w:lastColumn="0" w:noHBand="0" w:noVBand="1"/>
      </w:tblPr>
      <w:tblGrid>
        <w:gridCol w:w="3686"/>
        <w:gridCol w:w="2875"/>
      </w:tblGrid>
      <w:tr w:rsidR="000478F6" w:rsidRPr="000478F6" w:rsidTr="0074067E">
        <w:tc>
          <w:tcPr>
            <w:tcW w:w="3686"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市町村規模</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目標収納率</w:t>
            </w:r>
          </w:p>
        </w:tc>
      </w:tr>
      <w:tr w:rsidR="000478F6" w:rsidRPr="000478F6" w:rsidTr="0074067E">
        <w:tc>
          <w:tcPr>
            <w:tcW w:w="3686" w:type="dxa"/>
          </w:tcPr>
          <w:p w:rsidR="000478F6" w:rsidRPr="000478F6" w:rsidRDefault="000478F6" w:rsidP="000478F6">
            <w:pPr>
              <w:ind w:firstLineChars="100" w:firstLine="210"/>
              <w:jc w:val="left"/>
              <w:rPr>
                <w:rFonts w:asciiTheme="minorEastAsia" w:eastAsiaTheme="minorEastAsia" w:hAnsiTheme="minorEastAsia"/>
              </w:rPr>
            </w:pPr>
            <w:r w:rsidRPr="000478F6">
              <w:rPr>
                <w:rFonts w:asciiTheme="minorEastAsia" w:eastAsiaTheme="minorEastAsia" w:hAnsiTheme="minorEastAsia" w:hint="eastAsia"/>
              </w:rPr>
              <w:t>ア　政令指定都市</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８９．０％</w:t>
            </w:r>
          </w:p>
        </w:tc>
      </w:tr>
      <w:tr w:rsidR="000478F6" w:rsidRPr="000478F6" w:rsidTr="0074067E">
        <w:tc>
          <w:tcPr>
            <w:tcW w:w="3686" w:type="dxa"/>
          </w:tcPr>
          <w:p w:rsidR="000478F6" w:rsidRPr="000478F6" w:rsidRDefault="000478F6" w:rsidP="000478F6">
            <w:pPr>
              <w:ind w:firstLineChars="100" w:firstLine="210"/>
              <w:jc w:val="left"/>
              <w:rPr>
                <w:rFonts w:asciiTheme="minorEastAsia" w:eastAsiaTheme="minorEastAsia" w:hAnsiTheme="minorEastAsia"/>
              </w:rPr>
            </w:pPr>
            <w:r w:rsidRPr="000478F6">
              <w:rPr>
                <w:rFonts w:asciiTheme="minorEastAsia" w:eastAsiaTheme="minorEastAsia" w:hAnsiTheme="minorEastAsia" w:hint="eastAsia"/>
              </w:rPr>
              <w:t>イ　中核市</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８９．７％</w:t>
            </w:r>
          </w:p>
        </w:tc>
      </w:tr>
      <w:tr w:rsidR="000478F6" w:rsidRPr="000478F6" w:rsidTr="0074067E">
        <w:tc>
          <w:tcPr>
            <w:tcW w:w="3686" w:type="dxa"/>
          </w:tcPr>
          <w:p w:rsidR="000478F6" w:rsidRPr="000478F6" w:rsidRDefault="000478F6" w:rsidP="000478F6">
            <w:pPr>
              <w:ind w:firstLineChars="100" w:firstLine="210"/>
              <w:jc w:val="left"/>
              <w:rPr>
                <w:rFonts w:asciiTheme="minorEastAsia" w:eastAsiaTheme="minorEastAsia" w:hAnsiTheme="minorEastAsia"/>
              </w:rPr>
            </w:pPr>
            <w:r w:rsidRPr="000478F6">
              <w:rPr>
                <w:rFonts w:asciiTheme="minorEastAsia" w:eastAsiaTheme="minorEastAsia" w:hAnsiTheme="minorEastAsia" w:hint="eastAsia"/>
              </w:rPr>
              <w:t>ウ　被保険者数５万人以上の市</w:t>
            </w:r>
          </w:p>
          <w:p w:rsidR="000478F6" w:rsidRPr="000478F6" w:rsidRDefault="000478F6" w:rsidP="000478F6">
            <w:pPr>
              <w:ind w:firstLineChars="200" w:firstLine="420"/>
              <w:jc w:val="left"/>
              <w:rPr>
                <w:rFonts w:asciiTheme="minorEastAsia" w:eastAsiaTheme="minorEastAsia" w:hAnsiTheme="minorEastAsia"/>
              </w:rPr>
            </w:pPr>
            <w:r w:rsidRPr="000478F6">
              <w:rPr>
                <w:rFonts w:asciiTheme="minorEastAsia" w:eastAsiaTheme="minorEastAsia" w:hAnsiTheme="minorEastAsia" w:hint="eastAsia"/>
              </w:rPr>
              <w:t>（ア及びイを除く）</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８８．８％</w:t>
            </w:r>
          </w:p>
        </w:tc>
      </w:tr>
      <w:tr w:rsidR="000478F6" w:rsidRPr="000478F6" w:rsidTr="0074067E">
        <w:tc>
          <w:tcPr>
            <w:tcW w:w="3686" w:type="dxa"/>
          </w:tcPr>
          <w:p w:rsidR="000478F6" w:rsidRPr="000478F6" w:rsidRDefault="000478F6" w:rsidP="000478F6">
            <w:pPr>
              <w:ind w:firstLineChars="100" w:firstLine="210"/>
              <w:jc w:val="left"/>
              <w:rPr>
                <w:rFonts w:asciiTheme="minorEastAsia" w:eastAsiaTheme="minorEastAsia" w:hAnsiTheme="minorEastAsia"/>
              </w:rPr>
            </w:pPr>
            <w:r w:rsidRPr="000478F6">
              <w:rPr>
                <w:rFonts w:asciiTheme="minorEastAsia" w:eastAsiaTheme="minorEastAsia" w:hAnsiTheme="minorEastAsia" w:hint="eastAsia"/>
              </w:rPr>
              <w:t>エ　被保険者数５万人未満の市</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９１．６％</w:t>
            </w:r>
          </w:p>
        </w:tc>
      </w:tr>
      <w:tr w:rsidR="000478F6" w:rsidRPr="000478F6" w:rsidTr="0074067E">
        <w:tc>
          <w:tcPr>
            <w:tcW w:w="3686" w:type="dxa"/>
          </w:tcPr>
          <w:p w:rsidR="000478F6" w:rsidRPr="000478F6" w:rsidRDefault="000478F6" w:rsidP="000478F6">
            <w:pPr>
              <w:ind w:firstLineChars="100" w:firstLine="210"/>
              <w:jc w:val="left"/>
              <w:rPr>
                <w:rFonts w:asciiTheme="minorEastAsia" w:eastAsiaTheme="minorEastAsia" w:hAnsiTheme="minorEastAsia"/>
              </w:rPr>
            </w:pPr>
            <w:r w:rsidRPr="000478F6">
              <w:rPr>
                <w:rFonts w:asciiTheme="minorEastAsia" w:eastAsiaTheme="minorEastAsia" w:hAnsiTheme="minorEastAsia" w:hint="eastAsia"/>
              </w:rPr>
              <w:t>オ　町村</w:t>
            </w:r>
          </w:p>
        </w:tc>
        <w:tc>
          <w:tcPr>
            <w:tcW w:w="2875" w:type="dxa"/>
          </w:tcPr>
          <w:p w:rsidR="000478F6" w:rsidRPr="000478F6" w:rsidRDefault="000478F6" w:rsidP="000478F6">
            <w:pPr>
              <w:jc w:val="center"/>
              <w:rPr>
                <w:rFonts w:asciiTheme="minorEastAsia" w:eastAsiaTheme="minorEastAsia" w:hAnsiTheme="minorEastAsia"/>
              </w:rPr>
            </w:pPr>
            <w:r w:rsidRPr="000478F6">
              <w:rPr>
                <w:rFonts w:asciiTheme="minorEastAsia" w:eastAsiaTheme="minorEastAsia" w:hAnsiTheme="minorEastAsia" w:hint="eastAsia"/>
              </w:rPr>
              <w:t>９４．７％</w:t>
            </w:r>
          </w:p>
        </w:tc>
      </w:tr>
    </w:tbl>
    <w:p w:rsidR="009806F6" w:rsidRDefault="009806F6" w:rsidP="000478F6">
      <w:pPr>
        <w:ind w:firstLineChars="300" w:firstLine="630"/>
        <w:rPr>
          <w:rFonts w:asciiTheme="minorEastAsia" w:eastAsiaTheme="minorEastAsia" w:hAnsiTheme="minorEastAsia"/>
        </w:rPr>
      </w:pPr>
    </w:p>
    <w:p w:rsidR="004A6B45" w:rsidRPr="009806F6" w:rsidRDefault="004A6B45" w:rsidP="000478F6">
      <w:pPr>
        <w:ind w:firstLineChars="300" w:firstLine="630"/>
        <w:rPr>
          <w:rFonts w:asciiTheme="minorEastAsia" w:eastAsiaTheme="minorEastAsia" w:hAnsiTheme="minorEastAsia"/>
        </w:rPr>
      </w:pP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lastRenderedPageBreak/>
        <w:t>②　収納率（現年度分）の規模別収納率上昇目標値の設定</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①の規模別目標収納率を達成するためには、各市町村が収納率向上の取組みをさらに推進する必要があることから、平成26年度の収納率に応じた規模別収納率上昇目標値を別紙のとおり定める。</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また、規模別収納率上昇目標値の単年度又は通算での達成状況に応じ、府財政調整交付金による措置を行う。</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③　滞納繰越分の収納率の目標設定等</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滞納繰越分の保険料収納率については、平成24年度において全国平均16.45％に対して府平均は12.04％（全国46位）となっている。保険財政の健全化及び被保険者の負担の公平の観点からは、</w:t>
      </w:r>
      <w:r w:rsidR="004A2F55">
        <w:rPr>
          <w:rFonts w:asciiTheme="minorEastAsia" w:eastAsiaTheme="minorEastAsia" w:hAnsiTheme="minorEastAsia" w:hint="eastAsia"/>
        </w:rPr>
        <w:t>現年度分</w:t>
      </w:r>
      <w:r w:rsidRPr="009806F6">
        <w:rPr>
          <w:rFonts w:asciiTheme="minorEastAsia" w:eastAsiaTheme="minorEastAsia" w:hAnsiTheme="minorEastAsia" w:hint="eastAsia"/>
        </w:rPr>
        <w:t>のみではなく、滞納繰越分の収納率についても適切に対策を講じる必要があるため、次の基本方針により取り組むこととする。</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ア　滞納繰越分については、次年度内での解消をめざす。</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イ　前年度滞納者については、速やかに財産調査を行い、必要に応じ滞納処分を実施する。</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ウ　安易な時効にならないように、債務承認行為、督促などを適切に実施する。</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エ　現年度分及び滞納繰越分の合計の収納率目標を最新公表の全国平均値とし、収納率の達成状況により、府財政調整交付金による措置を行う。</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オ　滞納処分の強化のため、滞納処分に関する施策について、府財政調整交付金による措置を重点的に行う。</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④　その他の収納率向上のための取組み</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ア　収納率（現年度分）が前年度から低下した場合には、①の規模別目標収納率及び低下したポイントの状況に応じて府財政調整交付金による減額措置を行う。</w:t>
      </w:r>
    </w:p>
    <w:p w:rsidR="009806F6" w:rsidRPr="009806F6" w:rsidRDefault="009806F6" w:rsidP="000478F6">
      <w:pPr>
        <w:ind w:leftChars="300" w:left="630" w:firstLineChars="100" w:firstLine="210"/>
        <w:rPr>
          <w:rFonts w:asciiTheme="minorEastAsia" w:eastAsiaTheme="minorEastAsia" w:hAnsiTheme="minorEastAsia"/>
        </w:rPr>
      </w:pPr>
      <w:r w:rsidRPr="009806F6">
        <w:rPr>
          <w:rFonts w:asciiTheme="minorEastAsia" w:eastAsiaTheme="minorEastAsia" w:hAnsiTheme="minorEastAsia" w:hint="eastAsia"/>
        </w:rPr>
        <w:t>ただし、収納率に大きく影響を及ぼすような特段の社会事情が認められる場合にあっては、当該事情を考慮するものとする。</w:t>
      </w:r>
    </w:p>
    <w:p w:rsidR="009806F6" w:rsidRPr="009806F6" w:rsidRDefault="009806F6" w:rsidP="000478F6">
      <w:pPr>
        <w:ind w:firstLineChars="200" w:firstLine="420"/>
        <w:rPr>
          <w:rFonts w:asciiTheme="minorEastAsia" w:eastAsiaTheme="minorEastAsia" w:hAnsiTheme="minorEastAsia"/>
        </w:rPr>
      </w:pPr>
      <w:r w:rsidRPr="009806F6">
        <w:rPr>
          <w:rFonts w:asciiTheme="minorEastAsia" w:eastAsiaTheme="minorEastAsia" w:hAnsiTheme="minorEastAsia" w:hint="eastAsia"/>
        </w:rPr>
        <w:t>イ　特に効果が見込まれる収納対策について、広域的な取組みを進める。</w:t>
      </w:r>
    </w:p>
    <w:p w:rsidR="009806F6" w:rsidRPr="009806F6" w:rsidRDefault="009806F6" w:rsidP="000478F6">
      <w:pPr>
        <w:ind w:firstLineChars="300" w:firstLine="630"/>
        <w:rPr>
          <w:rFonts w:asciiTheme="minorEastAsia" w:eastAsiaTheme="minorEastAsia" w:hAnsiTheme="minorEastAsia"/>
        </w:rPr>
      </w:pPr>
      <w:r w:rsidRPr="009806F6">
        <w:rPr>
          <w:rFonts w:asciiTheme="minorEastAsia" w:eastAsiaTheme="minorEastAsia" w:hAnsiTheme="minorEastAsia" w:hint="eastAsia"/>
        </w:rPr>
        <w:t>・保険料納付についての口座振替の推進</w:t>
      </w:r>
    </w:p>
    <w:p w:rsidR="009806F6" w:rsidRPr="009806F6" w:rsidRDefault="009806F6" w:rsidP="000478F6">
      <w:pPr>
        <w:ind w:firstLineChars="300" w:firstLine="630"/>
        <w:rPr>
          <w:rFonts w:asciiTheme="minorEastAsia" w:eastAsiaTheme="minorEastAsia" w:hAnsiTheme="minorEastAsia"/>
        </w:rPr>
      </w:pPr>
      <w:r w:rsidRPr="009806F6">
        <w:rPr>
          <w:rFonts w:asciiTheme="minorEastAsia" w:eastAsiaTheme="minorEastAsia" w:hAnsiTheme="minorEastAsia" w:hint="eastAsia"/>
        </w:rPr>
        <w:t>・納付相談等についてのコールセンターの設置推進</w:t>
      </w:r>
    </w:p>
    <w:p w:rsidR="009806F6" w:rsidRPr="009806F6" w:rsidRDefault="009806F6" w:rsidP="000478F6">
      <w:pPr>
        <w:ind w:leftChars="200" w:left="630" w:hangingChars="100" w:hanging="210"/>
        <w:rPr>
          <w:rFonts w:asciiTheme="minorEastAsia" w:eastAsiaTheme="minorEastAsia" w:hAnsiTheme="minorEastAsia"/>
        </w:rPr>
      </w:pPr>
      <w:r w:rsidRPr="009806F6">
        <w:rPr>
          <w:rFonts w:asciiTheme="minorEastAsia" w:eastAsiaTheme="minorEastAsia" w:hAnsiTheme="minorEastAsia" w:hint="eastAsia"/>
        </w:rPr>
        <w:t>ウ　規模別の特性をふまえた収納対策のための情報交換、先進事例の紹介、広域的取組みのための仕組みづくりの協議、収納率の向上しない市町村の取組みの支援などを進めるため、府と市町村等で構成する会議を設置し、市町村等の意見を聞きながら取組みを進める。</w:t>
      </w:r>
    </w:p>
    <w:p w:rsidR="009806F6" w:rsidRPr="00086C71" w:rsidRDefault="009806F6" w:rsidP="000478F6">
      <w:pPr>
        <w:ind w:firstLineChars="100" w:firstLine="210"/>
        <w:rPr>
          <w:rFonts w:asciiTheme="majorEastAsia" w:eastAsiaTheme="majorEastAsia" w:hAnsiTheme="majorEastAsia"/>
        </w:rPr>
      </w:pPr>
      <w:r w:rsidRPr="00086C71">
        <w:rPr>
          <w:rFonts w:asciiTheme="majorEastAsia" w:eastAsiaTheme="majorEastAsia" w:hAnsiTheme="majorEastAsia" w:hint="eastAsia"/>
        </w:rPr>
        <w:t>⑤　その他必要と認められる標準設定</w:t>
      </w:r>
    </w:p>
    <w:p w:rsidR="009806F6" w:rsidRPr="009806F6" w:rsidRDefault="009806F6" w:rsidP="000478F6">
      <w:pPr>
        <w:ind w:leftChars="200" w:left="420" w:firstLineChars="100" w:firstLine="210"/>
        <w:rPr>
          <w:rFonts w:asciiTheme="minorEastAsia" w:eastAsiaTheme="minorEastAsia" w:hAnsiTheme="minorEastAsia"/>
        </w:rPr>
      </w:pPr>
      <w:r w:rsidRPr="009806F6">
        <w:rPr>
          <w:rFonts w:asciiTheme="minorEastAsia" w:eastAsiaTheme="minorEastAsia" w:hAnsiTheme="minorEastAsia" w:hint="eastAsia"/>
        </w:rPr>
        <w:t>この方針に定めのない事項で府内の標準設定が必要な事項がある場合は、府は市町村の意見を聞いて、府内の標準を設定する。</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(4) 府内市町村の国民健康保険特別会計の赤字解消の目標の設定</w:t>
      </w:r>
    </w:p>
    <w:p w:rsidR="009806F6" w:rsidRPr="009806F6" w:rsidRDefault="009806F6" w:rsidP="000478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国民健康保険の都道府県化に向けた環境整備のためには、各市町村が健全運営に努め、単年度黒字を常態化するとともに、累積赤字の解消を進めていく必要がある。</w:t>
      </w:r>
    </w:p>
    <w:p w:rsidR="009806F6" w:rsidRPr="009806F6" w:rsidRDefault="009806F6" w:rsidP="000478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そのため、３年以上連続で累積赤字があり、経常的な支出に対する累積赤字の比率が７％を</w:t>
      </w:r>
      <w:r w:rsidRPr="009806F6">
        <w:rPr>
          <w:rFonts w:asciiTheme="minorEastAsia" w:eastAsiaTheme="minorEastAsia" w:hAnsiTheme="minorEastAsia" w:hint="eastAsia"/>
        </w:rPr>
        <w:lastRenderedPageBreak/>
        <w:t>超える市町村については「市町村赤字解消計画」を策定し、おおむね平成29年度までを目途に赤字を解消するものとする。</w:t>
      </w:r>
    </w:p>
    <w:p w:rsidR="009806F6" w:rsidRPr="009806F6" w:rsidRDefault="009806F6" w:rsidP="000478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計画の策定及び確実な実行を担保するため、府特別調整交付金において、府策定基準を満たす「市町村赤字解消計画」の策定状況や、策定された計画の進捗状況を評価し、交付金の算定に反映する。</w:t>
      </w:r>
    </w:p>
    <w:p w:rsidR="009806F6" w:rsidRPr="009806F6" w:rsidRDefault="009806F6" w:rsidP="009806F6">
      <w:pPr>
        <w:rPr>
          <w:rFonts w:asciiTheme="minorEastAsia" w:eastAsiaTheme="minorEastAsia" w:hAnsiTheme="minorEastAsia"/>
        </w:rPr>
      </w:pPr>
      <w:r w:rsidRPr="009806F6">
        <w:rPr>
          <w:rFonts w:asciiTheme="minorEastAsia" w:eastAsiaTheme="minorEastAsia" w:hAnsiTheme="minorEastAsia" w:hint="eastAsia"/>
        </w:rPr>
        <w:t xml:space="preserve">　　　</w:t>
      </w: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５　実施状況の検証等</w:t>
      </w:r>
    </w:p>
    <w:p w:rsidR="009806F6" w:rsidRPr="009806F6" w:rsidRDefault="009806F6" w:rsidP="000478F6">
      <w:pPr>
        <w:ind w:leftChars="100" w:left="210" w:firstLineChars="100" w:firstLine="210"/>
        <w:rPr>
          <w:rFonts w:asciiTheme="minorEastAsia" w:eastAsiaTheme="minorEastAsia" w:hAnsiTheme="minorEastAsia"/>
        </w:rPr>
      </w:pPr>
      <w:r w:rsidRPr="009806F6">
        <w:rPr>
          <w:rFonts w:asciiTheme="minorEastAsia" w:eastAsiaTheme="minorEastAsia" w:hAnsiTheme="minorEastAsia" w:hint="eastAsia"/>
        </w:rPr>
        <w:t>府は本方針に基づく取組みの実施状況を毎年度検証し、必要に応じて市町村に対して報告するとともに、本方針に定める事項の実施に関し、府と市町村は緊密な連絡調整を行う。</w:t>
      </w:r>
    </w:p>
    <w:p w:rsidR="009806F6" w:rsidRPr="009806F6" w:rsidRDefault="009806F6" w:rsidP="009806F6">
      <w:pPr>
        <w:rPr>
          <w:rFonts w:asciiTheme="minorEastAsia" w:eastAsiaTheme="minorEastAsia" w:hAnsiTheme="minorEastAsia"/>
        </w:rPr>
      </w:pPr>
    </w:p>
    <w:p w:rsidR="009806F6" w:rsidRPr="00086C71" w:rsidRDefault="009806F6" w:rsidP="009806F6">
      <w:pPr>
        <w:rPr>
          <w:rFonts w:asciiTheme="majorEastAsia" w:eastAsiaTheme="majorEastAsia" w:hAnsiTheme="majorEastAsia"/>
        </w:rPr>
      </w:pPr>
      <w:r w:rsidRPr="00086C71">
        <w:rPr>
          <w:rFonts w:asciiTheme="majorEastAsia" w:eastAsiaTheme="majorEastAsia" w:hAnsiTheme="majorEastAsia" w:hint="eastAsia"/>
        </w:rPr>
        <w:t>６　その他</w:t>
      </w:r>
    </w:p>
    <w:p w:rsidR="009806F6" w:rsidRPr="009806F6" w:rsidRDefault="009806F6" w:rsidP="000478F6">
      <w:pPr>
        <w:rPr>
          <w:rFonts w:asciiTheme="minorEastAsia" w:eastAsiaTheme="minorEastAsia" w:hAnsiTheme="minorEastAsia"/>
        </w:rPr>
      </w:pPr>
      <w:r w:rsidRPr="009806F6">
        <w:rPr>
          <w:rFonts w:asciiTheme="minorEastAsia" w:eastAsiaTheme="minorEastAsia" w:hAnsiTheme="minorEastAsia" w:hint="eastAsia"/>
        </w:rPr>
        <w:t>(1) この方針は、平成27年４月１日から実施する。</w:t>
      </w:r>
    </w:p>
    <w:p w:rsidR="009806F6" w:rsidRPr="009806F6" w:rsidRDefault="009806F6" w:rsidP="000478F6">
      <w:pPr>
        <w:ind w:left="210" w:hangingChars="100" w:hanging="210"/>
        <w:rPr>
          <w:rFonts w:asciiTheme="minorEastAsia" w:eastAsiaTheme="minorEastAsia" w:hAnsiTheme="minorEastAsia"/>
        </w:rPr>
      </w:pPr>
      <w:r w:rsidRPr="009806F6">
        <w:rPr>
          <w:rFonts w:asciiTheme="minorEastAsia" w:eastAsiaTheme="minorEastAsia" w:hAnsiTheme="minorEastAsia" w:hint="eastAsia"/>
        </w:rPr>
        <w:t>(2) この方針については、平成27年度以降都道府県化までの期間を対象とするが、当該期間中であってもこの方針の実施状況、国の制度の動向、社会・経済状況等に鑑み、必要があると認められるときは、見直しを行う。</w:t>
      </w:r>
    </w:p>
    <w:p w:rsidR="009806F6" w:rsidRPr="009806F6" w:rsidRDefault="009806F6" w:rsidP="000478F6">
      <w:pPr>
        <w:ind w:left="210" w:hangingChars="100" w:hanging="210"/>
        <w:rPr>
          <w:rFonts w:asciiTheme="minorEastAsia" w:eastAsiaTheme="minorEastAsia" w:hAnsiTheme="minorEastAsia"/>
        </w:rPr>
      </w:pPr>
      <w:r w:rsidRPr="009806F6">
        <w:rPr>
          <w:rFonts w:asciiTheme="minorEastAsia" w:eastAsiaTheme="minorEastAsia" w:hAnsiTheme="minorEastAsia" w:hint="eastAsia"/>
        </w:rPr>
        <w:t>(3) 府は、この方針を見直す場合にあっては、「大阪府広域化等支援方針策定に関する研究会」を開催し、市町村の意見を聞くものとする。</w:t>
      </w:r>
    </w:p>
    <w:p w:rsidR="007A1B40" w:rsidRDefault="007A1B40">
      <w:pPr>
        <w:widowControl/>
        <w:jc w:val="left"/>
        <w:rPr>
          <w:rFonts w:asciiTheme="minorEastAsia" w:eastAsiaTheme="minorEastAsia" w:hAnsiTheme="minorEastAsia"/>
        </w:rPr>
      </w:pPr>
    </w:p>
    <w:p w:rsidR="007A1B40" w:rsidRDefault="007A1B40">
      <w:pPr>
        <w:widowControl/>
        <w:jc w:val="left"/>
        <w:rPr>
          <w:rFonts w:asciiTheme="minorEastAsia" w:eastAsiaTheme="minorEastAsia" w:hAnsiTheme="minorEastAsia"/>
        </w:rPr>
        <w:sectPr w:rsidR="007A1B40" w:rsidSect="004A6B45">
          <w:footerReference w:type="default" r:id="rId8"/>
          <w:pgSz w:w="11906" w:h="16838"/>
          <w:pgMar w:top="1418" w:right="1416" w:bottom="1276" w:left="1418" w:header="851" w:footer="422" w:gutter="0"/>
          <w:cols w:space="425"/>
          <w:docGrid w:type="lines" w:linePitch="392"/>
        </w:sectPr>
      </w:pPr>
    </w:p>
    <w:p w:rsidR="0074067E" w:rsidRPr="00F55A27" w:rsidRDefault="0074067E">
      <w:pPr>
        <w:rPr>
          <w:rFonts w:asciiTheme="majorEastAsia" w:eastAsiaTheme="majorEastAsia" w:hAnsiTheme="majorEastAsia"/>
        </w:rPr>
      </w:pPr>
      <w:r w:rsidRPr="00F55A27">
        <w:rPr>
          <w:rFonts w:asciiTheme="majorEastAsia" w:eastAsiaTheme="majorEastAsia" w:hAnsiTheme="majorEastAsia" w:hint="eastAsia"/>
        </w:rPr>
        <w:lastRenderedPageBreak/>
        <w:t>別紙　規模別収納率上昇目標値</w:t>
      </w:r>
    </w:p>
    <w:p w:rsidR="0074067E" w:rsidRDefault="0074067E">
      <w:pPr>
        <w:rPr>
          <w:rFonts w:asciiTheme="minorEastAsia" w:eastAsiaTheme="minorEastAsia" w:hAnsiTheme="minorEastAsia"/>
        </w:rPr>
      </w:pPr>
    </w:p>
    <w:p w:rsidR="0074067E" w:rsidRPr="0074067E" w:rsidRDefault="0074067E" w:rsidP="0074067E">
      <w:pPr>
        <w:ind w:left="210" w:hangingChars="100" w:hanging="210"/>
        <w:rPr>
          <w:rFonts w:asciiTheme="minorEastAsia" w:eastAsiaTheme="minorEastAsia" w:hAnsiTheme="minorEastAsia"/>
        </w:rPr>
      </w:pPr>
      <w:r w:rsidRPr="0074067E">
        <w:rPr>
          <w:rFonts w:asciiTheme="minorEastAsia" w:eastAsiaTheme="minorEastAsia" w:hAnsiTheme="minorEastAsia" w:hint="eastAsia"/>
        </w:rPr>
        <w:t>【ア　政令指定都市】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0"/>
        <w:gridCol w:w="851"/>
      </w:tblGrid>
      <w:tr w:rsidR="0074067E" w:rsidRPr="0074067E" w:rsidTr="00FC2BD7">
        <w:trPr>
          <w:trHeight w:val="300"/>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89.0%</w:t>
            </w:r>
          </w:p>
        </w:tc>
      </w:tr>
      <w:tr w:rsidR="0074067E" w:rsidRPr="0074067E"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収納率上昇目標値</w:t>
            </w:r>
          </w:p>
        </w:tc>
      </w:tr>
      <w:tr w:rsidR="0074067E" w:rsidRPr="0074067E"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74067E"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A1B40"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H28</w:t>
            </w:r>
          </w:p>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以降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合計</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ind w:rightChars="454" w:right="953"/>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89.0%以上</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88.8%以上89.0%未満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87.6%以上87.8%未満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87.4%以上87.6%未満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87.2%以上87.4%未満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87.0%以上87.2%未満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86.8%以上87.0%未満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86.6%以上86.8%未満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86.4%以上86.6%未満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86.2%以上86.4%未満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86.0%以上86.2%未満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85.8%以上86.0%未満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85.6%以上85.8%未満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85.4%以上85.6%未満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85.2%以上85.4%未満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4.0</w:t>
            </w:r>
          </w:p>
        </w:tc>
      </w:tr>
    </w:tbl>
    <w:p w:rsidR="0074067E" w:rsidRDefault="0074067E"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74067E" w:rsidRPr="0074067E" w:rsidRDefault="00F26A50" w:rsidP="0074067E">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74067E" w:rsidRPr="0074067E">
        <w:rPr>
          <w:rFonts w:asciiTheme="minorEastAsia" w:eastAsiaTheme="minorEastAsia" w:hAnsiTheme="minorEastAsia" w:hint="eastAsia"/>
        </w:rPr>
        <w:t>イ</w:t>
      </w:r>
      <w:r>
        <w:rPr>
          <w:rFonts w:asciiTheme="minorEastAsia" w:eastAsiaTheme="minorEastAsia" w:hAnsiTheme="minorEastAsia" w:hint="eastAsia"/>
        </w:rPr>
        <w:t xml:space="preserve">　</w:t>
      </w:r>
      <w:r w:rsidR="0074067E" w:rsidRPr="0074067E">
        <w:rPr>
          <w:rFonts w:asciiTheme="minorEastAsia" w:eastAsiaTheme="minorEastAsia" w:hAnsiTheme="minorEastAsia" w:hint="eastAsia"/>
        </w:rPr>
        <w:t>中核市】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74067E" w:rsidRPr="0074067E"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89.7%</w:t>
            </w:r>
          </w:p>
        </w:tc>
      </w:tr>
      <w:tr w:rsidR="0074067E" w:rsidRPr="0074067E"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収納率上昇目標値</w:t>
            </w:r>
          </w:p>
        </w:tc>
      </w:tr>
      <w:tr w:rsidR="0074067E" w:rsidRPr="0074067E"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74067E"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H28</w:t>
            </w:r>
          </w:p>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合計</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ind w:rightChars="447" w:right="939"/>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 xml:space="preserve">89.7%以上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89.5%以上89.7%未満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89.3%以上89.5%未満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89.1%以上89.3%未満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88.9%以上89.1%未満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88.7%以上88.9%未満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88.5%以上88.7%未満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88.3%以上88.5%未満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88.1%以上88.3%未満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87.9%以上88.1%未満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87.7%以上87.9%未満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87.5%以上87.7%未満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87.3%以上87.5%未満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87.1%以上87.3%未満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86.9%以上87.1%未満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86.7%以上86.9%未満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86.5%以上86.7%未満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86.3%以上86.5%未満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86.1%以上86.3%未満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85.9%以上86.1%未満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4.0</w:t>
            </w:r>
          </w:p>
        </w:tc>
      </w:tr>
    </w:tbl>
    <w:p w:rsidR="0074067E" w:rsidRDefault="0074067E"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74067E" w:rsidRPr="0074067E" w:rsidRDefault="0074067E" w:rsidP="0074067E">
      <w:pPr>
        <w:ind w:left="210" w:hangingChars="100" w:hanging="210"/>
        <w:rPr>
          <w:rFonts w:asciiTheme="minorEastAsia" w:eastAsiaTheme="minorEastAsia" w:hAnsiTheme="minorEastAsia"/>
        </w:rPr>
      </w:pPr>
      <w:r w:rsidRPr="0074067E">
        <w:rPr>
          <w:rFonts w:asciiTheme="minorEastAsia" w:eastAsiaTheme="minorEastAsia" w:hAnsiTheme="minorEastAsia" w:hint="eastAsia"/>
        </w:rPr>
        <w:t>【ウ　被保険者数５万人以上の市（ア及びイを除く）】</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74067E" w:rsidRPr="0074067E"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88.8%</w:t>
            </w:r>
          </w:p>
        </w:tc>
      </w:tr>
      <w:tr w:rsidR="0074067E" w:rsidRPr="0074067E"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収納率上昇目標値</w:t>
            </w:r>
          </w:p>
        </w:tc>
      </w:tr>
      <w:tr w:rsidR="0074067E" w:rsidRPr="0074067E"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74067E"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H28</w:t>
            </w:r>
          </w:p>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合計</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ind w:rightChars="447" w:right="939"/>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 xml:space="preserve">88.8%以上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87.6%以上87.8%未満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87.4%以上87.6%未満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87.2%以上87.4%未満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87.0%以上87.2%未満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86.8%以上87.0%未満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86.6%以上86.8%未満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86.4%以上86.6%未満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86.2%以上86.4%未満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86.0%以上86.2%未満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85.8%以上86.0%未満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85.6%以上85.8%未満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85.4%以上85.6%未満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85.2%以上85.4%未満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85.0%以上85.2%未満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85.0%未満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4.0</w:t>
            </w:r>
          </w:p>
        </w:tc>
      </w:tr>
    </w:tbl>
    <w:p w:rsidR="0074067E" w:rsidRDefault="0074067E"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Default="007A1B40" w:rsidP="0074067E">
      <w:pPr>
        <w:ind w:left="210" w:hangingChars="100" w:hanging="210"/>
        <w:rPr>
          <w:rFonts w:asciiTheme="minorEastAsia" w:eastAsiaTheme="minorEastAsia" w:hAnsiTheme="minorEastAsia"/>
        </w:rPr>
      </w:pPr>
    </w:p>
    <w:p w:rsidR="007A1B40" w:rsidRPr="0074067E" w:rsidRDefault="007A1B40" w:rsidP="0074067E">
      <w:pPr>
        <w:ind w:left="210" w:hangingChars="100" w:hanging="210"/>
        <w:rPr>
          <w:rFonts w:asciiTheme="minorEastAsia" w:eastAsiaTheme="minorEastAsia" w:hAnsiTheme="minorEastAsia"/>
        </w:rPr>
      </w:pPr>
    </w:p>
    <w:p w:rsidR="0074067E" w:rsidRPr="0074067E" w:rsidRDefault="0074067E" w:rsidP="0074067E">
      <w:pPr>
        <w:ind w:left="210" w:hangingChars="100" w:hanging="210"/>
        <w:rPr>
          <w:rFonts w:asciiTheme="minorEastAsia" w:eastAsiaTheme="minorEastAsia" w:hAnsiTheme="minorEastAsia"/>
        </w:rPr>
      </w:pPr>
      <w:r w:rsidRPr="0074067E">
        <w:rPr>
          <w:rFonts w:asciiTheme="minorEastAsia" w:eastAsiaTheme="minorEastAsia" w:hAnsiTheme="minorEastAsia" w:hint="eastAsia"/>
        </w:rPr>
        <w:t>【エ　被保険者数５万人未満の市】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74067E" w:rsidRPr="0074067E"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91.6%</w:t>
            </w:r>
          </w:p>
        </w:tc>
      </w:tr>
      <w:tr w:rsidR="0074067E" w:rsidRPr="0074067E"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収納率上昇目標値</w:t>
            </w:r>
          </w:p>
        </w:tc>
      </w:tr>
      <w:tr w:rsidR="0074067E" w:rsidRPr="0074067E"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74067E"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H28</w:t>
            </w:r>
          </w:p>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合計</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ind w:rightChars="460" w:right="966"/>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 xml:space="preserve">91.6%以上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91.4%以上91.6%未満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91.2%以上91.4%未満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91.0%以上91.2%未満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90.8%以上91.0%未満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90.6%以上90.8%未満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90.4%以上90.6%未満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90.2%以上90.4%未満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90.0%以上90.2%未満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89.8%以上90.0%未満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89.6%以上89.8%未満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89.4%以上89.6%未満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89.2%以上89.4%未満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89.0%以上89.2%未満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88.8%以上89.0%未満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4.0</w:t>
            </w:r>
          </w:p>
        </w:tc>
      </w:tr>
    </w:tbl>
    <w:p w:rsidR="0074067E" w:rsidRDefault="0074067E"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Default="00F26A50" w:rsidP="0074067E">
      <w:pPr>
        <w:ind w:left="210" w:hangingChars="100" w:hanging="210"/>
        <w:rPr>
          <w:rFonts w:asciiTheme="minorEastAsia" w:eastAsiaTheme="minorEastAsia" w:hAnsiTheme="minorEastAsia"/>
        </w:rPr>
      </w:pPr>
    </w:p>
    <w:p w:rsidR="00F26A50" w:rsidRPr="0074067E" w:rsidRDefault="00F26A50" w:rsidP="0074067E">
      <w:pPr>
        <w:ind w:left="210" w:hangingChars="100" w:hanging="210"/>
        <w:rPr>
          <w:rFonts w:asciiTheme="minorEastAsia" w:eastAsiaTheme="minorEastAsia" w:hAnsiTheme="minorEastAsia"/>
        </w:rPr>
      </w:pPr>
    </w:p>
    <w:p w:rsidR="0074067E" w:rsidRPr="0074067E" w:rsidRDefault="0074067E" w:rsidP="0074067E">
      <w:pPr>
        <w:ind w:left="210" w:hangingChars="100" w:hanging="210"/>
        <w:rPr>
          <w:rFonts w:asciiTheme="minorEastAsia" w:eastAsiaTheme="minorEastAsia" w:hAnsiTheme="minorEastAsia"/>
        </w:rPr>
      </w:pPr>
      <w:r w:rsidRPr="0074067E">
        <w:rPr>
          <w:rFonts w:asciiTheme="minorEastAsia" w:eastAsiaTheme="minorEastAsia" w:hAnsiTheme="minorEastAsia" w:hint="eastAsia"/>
        </w:rPr>
        <w:t>【オ　町村】</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74067E" w:rsidRPr="0074067E"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94.7%</w:t>
            </w:r>
          </w:p>
        </w:tc>
      </w:tr>
      <w:tr w:rsidR="0074067E" w:rsidRPr="0074067E"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収納率上昇目標値</w:t>
            </w:r>
          </w:p>
        </w:tc>
      </w:tr>
      <w:tr w:rsidR="0074067E" w:rsidRPr="0074067E"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74067E"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H28</w:t>
            </w:r>
          </w:p>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合計</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tabs>
                <w:tab w:val="left" w:pos="1268"/>
              </w:tabs>
              <w:ind w:rightChars="447" w:right="939"/>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 xml:space="preserve">94.7%以上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94.5%以上94.7%未満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94.3%以上94.5%未満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94.1%以上94.3%未満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93.9%以上94.1%未満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93.7%以上93.9%未満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93.5%以上93.7%未満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93.3%以上93.5%未満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93.1%以上93.3%未満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92.9%以上93.1%未満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92.7%以上92.9%未満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92.5%以上92.7%未満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92.3%以上92.5%未満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92.1%以上92.3%未満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91.9%以上92.1%未満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91.7%以上91.9%未満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3.0</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91.5%以上91.7%未満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3.2</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91.3%以上91.5%未満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3.4</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91.1%以上91.3%未満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3.6</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90.9%以上91.1%未満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3.8</w:t>
            </w:r>
          </w:p>
        </w:tc>
      </w:tr>
      <w:tr w:rsidR="0074067E" w:rsidRPr="0074067E"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74067E" w:rsidRDefault="0074067E" w:rsidP="0074067E">
            <w:pPr>
              <w:widowControl/>
              <w:jc w:val="right"/>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90.9%未満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74067E" w:rsidRDefault="0074067E" w:rsidP="0074067E">
            <w:pPr>
              <w:widowControl/>
              <w:jc w:val="center"/>
              <w:rPr>
                <w:rFonts w:asciiTheme="minorEastAsia" w:eastAsiaTheme="minorEastAsia" w:hAnsiTheme="minorEastAsia" w:cs="ＭＳ Ｐゴシック"/>
                <w:kern w:val="0"/>
                <w:sz w:val="20"/>
                <w:szCs w:val="20"/>
              </w:rPr>
            </w:pPr>
            <w:r w:rsidRPr="0074067E">
              <w:rPr>
                <w:rFonts w:asciiTheme="minorEastAsia" w:eastAsiaTheme="minorEastAsia" w:hAnsiTheme="minorEastAsia" w:cs="ＭＳ Ｐゴシック" w:hint="eastAsia"/>
                <w:kern w:val="0"/>
                <w:sz w:val="20"/>
                <w:szCs w:val="20"/>
              </w:rPr>
              <w:t>4.0</w:t>
            </w:r>
          </w:p>
        </w:tc>
      </w:tr>
    </w:tbl>
    <w:p w:rsidR="0074067E" w:rsidRDefault="0074067E">
      <w:pPr>
        <w:rPr>
          <w:rFonts w:asciiTheme="minorEastAsia" w:eastAsiaTheme="minorEastAsia" w:hAnsiTheme="minorEastAsia"/>
        </w:rPr>
      </w:pPr>
    </w:p>
    <w:p w:rsidR="0074067E" w:rsidRPr="009806F6" w:rsidRDefault="0074067E">
      <w:pPr>
        <w:rPr>
          <w:rFonts w:asciiTheme="minorEastAsia" w:eastAsiaTheme="minorEastAsia" w:hAnsiTheme="minorEastAsia"/>
        </w:rPr>
      </w:pPr>
    </w:p>
    <w:sectPr w:rsidR="0074067E" w:rsidRPr="009806F6" w:rsidSect="007A1B40">
      <w:pgSz w:w="11906" w:h="16838"/>
      <w:pgMar w:top="1440" w:right="1077" w:bottom="1440" w:left="1077" w:header="851" w:footer="992" w:gutter="0"/>
      <w:cols w:num="2"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AE" w:rsidRDefault="004762AE" w:rsidP="007733F4">
      <w:r>
        <w:separator/>
      </w:r>
    </w:p>
  </w:endnote>
  <w:endnote w:type="continuationSeparator" w:id="0">
    <w:p w:rsidR="004762AE" w:rsidRDefault="004762AE" w:rsidP="007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9116"/>
      <w:docPartObj>
        <w:docPartGallery w:val="Page Numbers (Bottom of Page)"/>
        <w:docPartUnique/>
      </w:docPartObj>
    </w:sdtPr>
    <w:sdtEndPr/>
    <w:sdtContent>
      <w:p w:rsidR="007733F4" w:rsidRDefault="007733F4">
        <w:pPr>
          <w:pStyle w:val="a6"/>
          <w:jc w:val="center"/>
        </w:pPr>
        <w:r>
          <w:fldChar w:fldCharType="begin"/>
        </w:r>
        <w:r>
          <w:instrText>PAGE   \* MERGEFORMAT</w:instrText>
        </w:r>
        <w:r>
          <w:fldChar w:fldCharType="separate"/>
        </w:r>
        <w:r w:rsidR="004A2F55" w:rsidRPr="004A2F55">
          <w:rPr>
            <w:noProof/>
            <w:lang w:val="ja-JP"/>
          </w:rPr>
          <w:t>3</w:t>
        </w:r>
        <w:r>
          <w:fldChar w:fldCharType="end"/>
        </w:r>
      </w:p>
    </w:sdtContent>
  </w:sdt>
  <w:p w:rsidR="007733F4" w:rsidRDefault="007733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AE" w:rsidRDefault="004762AE" w:rsidP="007733F4">
      <w:r>
        <w:separator/>
      </w:r>
    </w:p>
  </w:footnote>
  <w:footnote w:type="continuationSeparator" w:id="0">
    <w:p w:rsidR="004762AE" w:rsidRDefault="004762AE" w:rsidP="0077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F6"/>
    <w:rsid w:val="000478F6"/>
    <w:rsid w:val="00086C71"/>
    <w:rsid w:val="00166CFF"/>
    <w:rsid w:val="00233F7F"/>
    <w:rsid w:val="00234D05"/>
    <w:rsid w:val="00330666"/>
    <w:rsid w:val="004762AE"/>
    <w:rsid w:val="00480562"/>
    <w:rsid w:val="004A2F55"/>
    <w:rsid w:val="004A6B45"/>
    <w:rsid w:val="0074067E"/>
    <w:rsid w:val="007733F4"/>
    <w:rsid w:val="007A1B40"/>
    <w:rsid w:val="008D589A"/>
    <w:rsid w:val="00943200"/>
    <w:rsid w:val="009806F6"/>
    <w:rsid w:val="00A94434"/>
    <w:rsid w:val="00C52423"/>
    <w:rsid w:val="00C65265"/>
    <w:rsid w:val="00CD4015"/>
    <w:rsid w:val="00D132D1"/>
    <w:rsid w:val="00F26A50"/>
    <w:rsid w:val="00F55A27"/>
    <w:rsid w:val="00FA1854"/>
    <w:rsid w:val="00FC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F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3F4"/>
    <w:pPr>
      <w:tabs>
        <w:tab w:val="center" w:pos="4252"/>
        <w:tab w:val="right" w:pos="8504"/>
      </w:tabs>
      <w:snapToGrid w:val="0"/>
    </w:pPr>
  </w:style>
  <w:style w:type="character" w:customStyle="1" w:styleId="a5">
    <w:name w:val="ヘッダー (文字)"/>
    <w:basedOn w:val="a0"/>
    <w:link w:val="a4"/>
    <w:uiPriority w:val="99"/>
    <w:rsid w:val="007733F4"/>
    <w:rPr>
      <w:rFonts w:ascii="ＭＳ 明朝" w:eastAsia="ＭＳ 明朝"/>
    </w:rPr>
  </w:style>
  <w:style w:type="paragraph" w:styleId="a6">
    <w:name w:val="footer"/>
    <w:basedOn w:val="a"/>
    <w:link w:val="a7"/>
    <w:uiPriority w:val="99"/>
    <w:unhideWhenUsed/>
    <w:rsid w:val="007733F4"/>
    <w:pPr>
      <w:tabs>
        <w:tab w:val="center" w:pos="4252"/>
        <w:tab w:val="right" w:pos="8504"/>
      </w:tabs>
      <w:snapToGrid w:val="0"/>
    </w:pPr>
  </w:style>
  <w:style w:type="character" w:customStyle="1" w:styleId="a7">
    <w:name w:val="フッター (文字)"/>
    <w:basedOn w:val="a0"/>
    <w:link w:val="a6"/>
    <w:uiPriority w:val="99"/>
    <w:rsid w:val="007733F4"/>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F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3F4"/>
    <w:pPr>
      <w:tabs>
        <w:tab w:val="center" w:pos="4252"/>
        <w:tab w:val="right" w:pos="8504"/>
      </w:tabs>
      <w:snapToGrid w:val="0"/>
    </w:pPr>
  </w:style>
  <w:style w:type="character" w:customStyle="1" w:styleId="a5">
    <w:name w:val="ヘッダー (文字)"/>
    <w:basedOn w:val="a0"/>
    <w:link w:val="a4"/>
    <w:uiPriority w:val="99"/>
    <w:rsid w:val="007733F4"/>
    <w:rPr>
      <w:rFonts w:ascii="ＭＳ 明朝" w:eastAsia="ＭＳ 明朝"/>
    </w:rPr>
  </w:style>
  <w:style w:type="paragraph" w:styleId="a6">
    <w:name w:val="footer"/>
    <w:basedOn w:val="a"/>
    <w:link w:val="a7"/>
    <w:uiPriority w:val="99"/>
    <w:unhideWhenUsed/>
    <w:rsid w:val="007733F4"/>
    <w:pPr>
      <w:tabs>
        <w:tab w:val="center" w:pos="4252"/>
        <w:tab w:val="right" w:pos="8504"/>
      </w:tabs>
      <w:snapToGrid w:val="0"/>
    </w:pPr>
  </w:style>
  <w:style w:type="character" w:customStyle="1" w:styleId="a7">
    <w:name w:val="フッター (文字)"/>
    <w:basedOn w:val="a0"/>
    <w:link w:val="a6"/>
    <w:uiPriority w:val="99"/>
    <w:rsid w:val="007733F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8880-8973-4DCC-9880-A6C1E6A8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1175</Words>
  <Characters>6700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2014-12-17T06:10:00Z</cp:lastPrinted>
  <dcterms:created xsi:type="dcterms:W3CDTF">2014-12-17T05:31:00Z</dcterms:created>
  <dcterms:modified xsi:type="dcterms:W3CDTF">2014-12-18T02:24:00Z</dcterms:modified>
</cp:coreProperties>
</file>