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27" w:rsidRPr="004F2B27" w:rsidRDefault="00A44860" w:rsidP="004F2B27">
      <w:pPr>
        <w:jc w:val="right"/>
        <w:rPr>
          <w:rFonts w:asciiTheme="majorEastAsia" w:eastAsiaTheme="majorEastAsia" w:hAnsiTheme="majorEastAsia"/>
          <w:szCs w:val="21"/>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EE81228" wp14:editId="680D60DF">
                <wp:simplePos x="0" y="0"/>
                <wp:positionH relativeFrom="column">
                  <wp:posOffset>3795395</wp:posOffset>
                </wp:positionH>
                <wp:positionV relativeFrom="paragraph">
                  <wp:posOffset>-419100</wp:posOffset>
                </wp:positionV>
                <wp:extent cx="220980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09800" cy="276225"/>
                        </a:xfrm>
                        <a:prstGeom prst="rect">
                          <a:avLst/>
                        </a:prstGeom>
                        <a:ln w="9525">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A44860" w:rsidRPr="00291B58" w:rsidRDefault="0030122A" w:rsidP="00A44860">
                            <w:pPr>
                              <w:snapToGrid w:val="0"/>
                              <w:jc w:val="center"/>
                              <w:rPr>
                                <w:rFonts w:asciiTheme="majorEastAsia" w:eastAsiaTheme="majorEastAsia" w:hAnsiTheme="majorEastAsia"/>
                                <w:szCs w:val="21"/>
                              </w:rPr>
                            </w:pPr>
                            <w:r w:rsidRPr="00291B58">
                              <w:rPr>
                                <w:rFonts w:asciiTheme="majorEastAsia" w:eastAsiaTheme="majorEastAsia" w:hAnsiTheme="majorEastAsia" w:hint="eastAsia"/>
                                <w:szCs w:val="21"/>
                              </w:rPr>
                              <w:t>H26.12.9第３回財政運営ＷＧ</w:t>
                            </w:r>
                            <w:r w:rsidR="00A44860" w:rsidRPr="00291B58">
                              <w:rPr>
                                <w:rFonts w:asciiTheme="majorEastAsia" w:eastAsiaTheme="majorEastAsia" w:hAnsiTheme="majorEastAsia" w:hint="eastAsia"/>
                                <w:szCs w:val="21"/>
                              </w:rPr>
                              <w:t xml:space="preserve">資料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98.85pt;margin-top:-33pt;width:17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" fillcolor="white [3201]" strokecolor="#002060">
                <v:textbox>
                  <w:txbxContent>
                    <w:p w:rsidR="00A44860" w:rsidRPr="00291B58" w:rsidRDefault="0030122A" w:rsidP="00A44860">
                      <w:pPr>
                        <w:snapToGrid w:val="0"/>
                        <w:jc w:val="center"/>
                        <w:rPr>
                          <w:rFonts w:asciiTheme="majorEastAsia" w:eastAsiaTheme="majorEastAsia" w:hAnsiTheme="majorEastAsia"/>
                          <w:szCs w:val="21"/>
                        </w:rPr>
                      </w:pPr>
                      <w:r w:rsidRPr="00291B58">
                        <w:rPr>
                          <w:rFonts w:asciiTheme="majorEastAsia" w:eastAsiaTheme="majorEastAsia" w:hAnsiTheme="majorEastAsia" w:hint="eastAsia"/>
                          <w:szCs w:val="21"/>
                        </w:rPr>
                        <w:t>H26.12.9第３回財政運営ＷＧ</w:t>
                      </w:r>
                      <w:r w:rsidR="00A44860" w:rsidRPr="00291B58">
                        <w:rPr>
                          <w:rFonts w:asciiTheme="majorEastAsia" w:eastAsiaTheme="majorEastAsia" w:hAnsiTheme="majorEastAsia" w:hint="eastAsia"/>
                          <w:szCs w:val="21"/>
                        </w:rPr>
                        <w:t xml:space="preserve">資料 </w:t>
                      </w:r>
                    </w:p>
                  </w:txbxContent>
                </v:textbox>
              </v:rect>
            </w:pict>
          </mc:Fallback>
        </mc:AlternateContent>
      </w:r>
    </w:p>
    <w:p w:rsidR="007201CA" w:rsidRPr="00782BAB" w:rsidRDefault="00782BAB">
      <w:pPr>
        <w:rPr>
          <w:rFonts w:asciiTheme="majorEastAsia" w:eastAsiaTheme="majorEastAsia" w:hAnsiTheme="majorEastAsia"/>
          <w:sz w:val="24"/>
          <w:szCs w:val="24"/>
        </w:rPr>
      </w:pPr>
      <w:r w:rsidRPr="00782BAB">
        <w:rPr>
          <w:rFonts w:asciiTheme="majorEastAsia" w:eastAsiaTheme="majorEastAsia" w:hAnsiTheme="majorEastAsia" w:hint="eastAsia"/>
          <w:sz w:val="24"/>
          <w:szCs w:val="24"/>
        </w:rPr>
        <w:t>■</w:t>
      </w:r>
      <w:r w:rsidR="00357399" w:rsidRPr="00357399">
        <w:rPr>
          <w:rFonts w:asciiTheme="majorEastAsia" w:eastAsiaTheme="majorEastAsia" w:hAnsiTheme="majorEastAsia" w:hint="eastAsia"/>
          <w:sz w:val="24"/>
          <w:szCs w:val="24"/>
        </w:rPr>
        <w:t>保険財政共同安定化事業の見直し【案３】</w:t>
      </w:r>
    </w:p>
    <w:p w:rsidR="007201CA" w:rsidRDefault="007201CA"/>
    <w:p w:rsidR="007201CA" w:rsidRPr="004F2B27" w:rsidRDefault="007201CA">
      <w:pPr>
        <w:rPr>
          <w:rFonts w:asciiTheme="majorEastAsia" w:eastAsiaTheme="majorEastAsia" w:hAnsiTheme="majorEastAsia"/>
          <w:sz w:val="24"/>
          <w:szCs w:val="24"/>
        </w:rPr>
      </w:pPr>
      <w:r w:rsidRPr="004F2B27">
        <w:rPr>
          <w:rFonts w:asciiTheme="majorEastAsia" w:eastAsiaTheme="majorEastAsia" w:hAnsiTheme="majorEastAsia" w:hint="eastAsia"/>
          <w:sz w:val="24"/>
          <w:szCs w:val="24"/>
        </w:rPr>
        <w:t>改正内容</w:t>
      </w:r>
    </w:p>
    <w:p w:rsidR="00357399" w:rsidRPr="006F6F74" w:rsidRDefault="007201CA" w:rsidP="00357399">
      <w:pPr>
        <w:rPr>
          <w:rFonts w:asciiTheme="majorEastAsia" w:eastAsiaTheme="majorEastAsia" w:hAnsiTheme="majorEastAsia"/>
        </w:rPr>
      </w:pPr>
      <w:r w:rsidRPr="006F6F74">
        <w:rPr>
          <w:rFonts w:asciiTheme="majorEastAsia" w:eastAsiaTheme="majorEastAsia" w:hAnsiTheme="majorEastAsia" w:hint="eastAsia"/>
        </w:rPr>
        <w:t xml:space="preserve">　</w:t>
      </w:r>
      <w:r w:rsidR="00357399" w:rsidRPr="006F6F74">
        <w:rPr>
          <w:rFonts w:asciiTheme="majorEastAsia" w:eastAsiaTheme="majorEastAsia" w:hAnsiTheme="majorEastAsia" w:hint="eastAsia"/>
        </w:rPr>
        <w:t>①　保険財政共同安定化事業の拠出割合</w:t>
      </w:r>
      <w:r w:rsidR="00357399">
        <w:rPr>
          <w:rFonts w:asciiTheme="majorEastAsia" w:eastAsiaTheme="majorEastAsia" w:hAnsiTheme="majorEastAsia" w:hint="eastAsia"/>
        </w:rPr>
        <w:t xml:space="preserve">　⇒　</w:t>
      </w:r>
      <w:r w:rsidR="00357399" w:rsidRPr="00357399">
        <w:rPr>
          <w:rFonts w:asciiTheme="majorEastAsia" w:eastAsiaTheme="majorEastAsia" w:hAnsiTheme="majorEastAsia" w:hint="eastAsia"/>
          <w:bdr w:val="single" w:sz="4" w:space="0" w:color="auto"/>
        </w:rPr>
        <w:t>現行どおり</w:t>
      </w:r>
      <w:r w:rsidR="003546F6">
        <w:rPr>
          <w:rFonts w:asciiTheme="majorEastAsia" w:eastAsiaTheme="majorEastAsia" w:hAnsiTheme="majorEastAsia" w:hint="eastAsia"/>
          <w:bdr w:val="single" w:sz="4" w:space="0" w:color="auto"/>
        </w:rPr>
        <w:t>（変更なし）</w:t>
      </w:r>
      <w:bookmarkStart w:id="0" w:name="_GoBack"/>
      <w:bookmarkEnd w:id="0"/>
    </w:p>
    <w:p w:rsidR="00357399" w:rsidRDefault="00357399" w:rsidP="00357399">
      <w:pPr>
        <w:ind w:leftChars="200" w:left="630" w:hangingChars="100" w:hanging="210"/>
      </w:pPr>
      <w:r>
        <w:rPr>
          <w:rFonts w:hint="eastAsia"/>
        </w:rPr>
        <w:t>・平成27年度以降、引き続き</w:t>
      </w:r>
      <w:r w:rsidRPr="00E7082B">
        <w:rPr>
          <w:rFonts w:asciiTheme="majorEastAsia" w:eastAsiaTheme="majorEastAsia" w:hAnsiTheme="majorEastAsia" w:hint="eastAsia"/>
          <w:u w:val="single"/>
        </w:rPr>
        <w:t>所得割25：被保険者割50：医療費実績割25</w:t>
      </w:r>
      <w:r>
        <w:rPr>
          <w:rFonts w:hint="eastAsia"/>
        </w:rPr>
        <w:t>とする。</w:t>
      </w:r>
    </w:p>
    <w:p w:rsidR="00ED6FF1" w:rsidRDefault="00ED6FF1" w:rsidP="00357399">
      <w:pPr>
        <w:ind w:leftChars="200" w:left="630" w:hangingChars="100" w:hanging="210"/>
      </w:pPr>
    </w:p>
    <w:tbl>
      <w:tblPr>
        <w:tblStyle w:val="a3"/>
        <w:tblW w:w="0" w:type="auto"/>
        <w:tblInd w:w="392" w:type="dxa"/>
        <w:tblLook w:val="04A0" w:firstRow="1" w:lastRow="0" w:firstColumn="1" w:lastColumn="0" w:noHBand="0" w:noVBand="1"/>
      </w:tblPr>
      <w:tblGrid>
        <w:gridCol w:w="9018"/>
      </w:tblGrid>
      <w:tr w:rsidR="00ED6FF1" w:rsidTr="00ED6FF1">
        <w:tc>
          <w:tcPr>
            <w:tcW w:w="9018" w:type="dxa"/>
            <w:tcBorders>
              <w:top w:val="dashed" w:sz="4" w:space="0" w:color="auto"/>
              <w:left w:val="dashed" w:sz="4" w:space="0" w:color="auto"/>
              <w:bottom w:val="dashed" w:sz="4" w:space="0" w:color="auto"/>
              <w:right w:val="dashed" w:sz="4" w:space="0" w:color="auto"/>
            </w:tcBorders>
          </w:tcPr>
          <w:p w:rsidR="00ED6FF1" w:rsidRPr="00ED6FF1" w:rsidRDefault="00ED6FF1" w:rsidP="007201CA">
            <w:pPr>
              <w:rPr>
                <w:sz w:val="20"/>
                <w:szCs w:val="20"/>
              </w:rPr>
            </w:pPr>
            <w:r w:rsidRPr="00ED6FF1">
              <w:rPr>
                <w:rFonts w:hint="eastAsia"/>
                <w:sz w:val="20"/>
                <w:szCs w:val="20"/>
              </w:rPr>
              <w:t xml:space="preserve">　都道府県化を見据えれば、理論上統一保険料率に近づくとされる所得割50％の導入が望ましいが、現時点では都道府県と市町村との役割分担や保険料の賦課決定のあり方等について、まだ明らかになっていない状況であること、また各保険者の保険料の賦課方式や賦課割合状況、収支の見込み方、累積赤字の状況、賦課限度額超過状況に差異があり、統一保険料率実現に向けた環境整備が現時点ではまだ十分ではないことなどから、</w:t>
            </w:r>
            <w:r w:rsidRPr="00ED6FF1">
              <w:rPr>
                <w:rFonts w:asciiTheme="majorEastAsia" w:eastAsiaTheme="majorEastAsia" w:hAnsiTheme="majorEastAsia" w:hint="eastAsia"/>
                <w:sz w:val="20"/>
                <w:szCs w:val="20"/>
                <w:u w:val="single"/>
              </w:rPr>
              <w:t>拠出割合は現行どおり</w:t>
            </w:r>
            <w:r w:rsidRPr="00ED6FF1">
              <w:rPr>
                <w:rFonts w:hint="eastAsia"/>
                <w:sz w:val="20"/>
                <w:szCs w:val="20"/>
              </w:rPr>
              <w:t>とするもの。</w:t>
            </w:r>
          </w:p>
        </w:tc>
      </w:tr>
    </w:tbl>
    <w:p w:rsidR="006368A2" w:rsidRDefault="006368A2" w:rsidP="007201CA">
      <w:pPr>
        <w:ind w:firstLine="210"/>
      </w:pPr>
    </w:p>
    <w:p w:rsidR="007201CA" w:rsidRPr="006F6F74" w:rsidRDefault="007201CA" w:rsidP="007201CA">
      <w:pPr>
        <w:ind w:firstLine="210"/>
        <w:rPr>
          <w:rFonts w:asciiTheme="majorEastAsia" w:eastAsiaTheme="majorEastAsia" w:hAnsiTheme="majorEastAsia"/>
        </w:rPr>
      </w:pPr>
      <w:r w:rsidRPr="006F6F74">
        <w:rPr>
          <w:rFonts w:asciiTheme="majorEastAsia" w:eastAsiaTheme="majorEastAsia" w:hAnsiTheme="majorEastAsia" w:hint="eastAsia"/>
        </w:rPr>
        <w:t>②　激変緩和措置</w:t>
      </w:r>
    </w:p>
    <w:p w:rsidR="007201CA" w:rsidRDefault="007201CA" w:rsidP="007201CA">
      <w:pPr>
        <w:ind w:leftChars="200" w:left="630" w:hangingChars="100" w:hanging="210"/>
      </w:pPr>
      <w:r>
        <w:rPr>
          <w:rFonts w:hint="eastAsia"/>
        </w:rPr>
        <w:t>・対象医療費の１円化に伴う当該年度の影響額について、平成27年度以降下記の割合により</w:t>
      </w:r>
      <w:r w:rsidRPr="00ED6FF1">
        <w:rPr>
          <w:rFonts w:asciiTheme="majorEastAsia" w:eastAsiaTheme="majorEastAsia" w:hAnsiTheme="majorEastAsia" w:hint="eastAsia"/>
          <w:u w:val="single"/>
        </w:rPr>
        <w:t>６年間</w:t>
      </w:r>
      <w:r w:rsidR="00ED6FF1">
        <w:rPr>
          <w:rFonts w:asciiTheme="majorEastAsia" w:eastAsiaTheme="majorEastAsia" w:hAnsiTheme="majorEastAsia" w:hint="eastAsia"/>
        </w:rPr>
        <w:t>（注）</w:t>
      </w:r>
      <w:r>
        <w:rPr>
          <w:rFonts w:hint="eastAsia"/>
        </w:rPr>
        <w:t>実施する。</w:t>
      </w:r>
    </w:p>
    <w:tbl>
      <w:tblPr>
        <w:tblStyle w:val="a3"/>
        <w:tblW w:w="0" w:type="auto"/>
        <w:tblInd w:w="817" w:type="dxa"/>
        <w:tblLook w:val="04A0" w:firstRow="1" w:lastRow="0" w:firstColumn="1" w:lastColumn="0" w:noHBand="0" w:noVBand="1"/>
      </w:tblPr>
      <w:tblGrid>
        <w:gridCol w:w="992"/>
        <w:gridCol w:w="1018"/>
        <w:gridCol w:w="1019"/>
        <w:gridCol w:w="1018"/>
        <w:gridCol w:w="1019"/>
        <w:gridCol w:w="1018"/>
        <w:gridCol w:w="1019"/>
        <w:gridCol w:w="1402"/>
      </w:tblGrid>
      <w:tr w:rsidR="007201CA" w:rsidRPr="00037B8A" w:rsidTr="008B164B">
        <w:tc>
          <w:tcPr>
            <w:tcW w:w="992" w:type="dxa"/>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年度</w:t>
            </w:r>
          </w:p>
        </w:tc>
        <w:tc>
          <w:tcPr>
            <w:tcW w:w="1018" w:type="dxa"/>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H27</w:t>
            </w:r>
          </w:p>
        </w:tc>
        <w:tc>
          <w:tcPr>
            <w:tcW w:w="1019" w:type="dxa"/>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H28</w:t>
            </w:r>
          </w:p>
        </w:tc>
        <w:tc>
          <w:tcPr>
            <w:tcW w:w="1018" w:type="dxa"/>
            <w:tcBorders>
              <w:top w:val="dashed" w:sz="4" w:space="0" w:color="auto"/>
              <w:bottom w:val="dashed" w:sz="4" w:space="0" w:color="auto"/>
              <w:right w:val="dashed" w:sz="4" w:space="0" w:color="auto"/>
            </w:tcBorders>
          </w:tcPr>
          <w:p w:rsidR="007201CA" w:rsidRPr="00037B8A" w:rsidRDefault="00037B8A" w:rsidP="007201CA">
            <w:pPr>
              <w:jc w:val="center"/>
              <w:rPr>
                <w:rFonts w:asciiTheme="majorEastAsia" w:eastAsiaTheme="majorEastAsia" w:hAnsiTheme="majorEastAsia"/>
              </w:rPr>
            </w:pPr>
            <w:r>
              <w:rPr>
                <w:rFonts w:asciiTheme="majorEastAsia" w:eastAsiaTheme="majorEastAsia" w:hAnsiTheme="majorEastAsia" w:hint="eastAsia"/>
              </w:rPr>
              <w:t>（</w:t>
            </w:r>
            <w:r w:rsidR="007201CA" w:rsidRPr="00037B8A">
              <w:rPr>
                <w:rFonts w:asciiTheme="majorEastAsia" w:eastAsiaTheme="majorEastAsia" w:hAnsiTheme="majorEastAsia" w:hint="eastAsia"/>
              </w:rPr>
              <w:t>H29</w:t>
            </w:r>
            <w:r>
              <w:rPr>
                <w:rFonts w:asciiTheme="majorEastAsia" w:eastAsiaTheme="majorEastAsia" w:hAnsiTheme="majorEastAsia" w:hint="eastAsia"/>
              </w:rPr>
              <w:t>）</w:t>
            </w:r>
          </w:p>
        </w:tc>
        <w:tc>
          <w:tcPr>
            <w:tcW w:w="1019" w:type="dxa"/>
            <w:tcBorders>
              <w:top w:val="dashed" w:sz="4" w:space="0" w:color="auto"/>
              <w:left w:val="dashed" w:sz="4" w:space="0" w:color="auto"/>
              <w:bottom w:val="dashed" w:sz="4" w:space="0" w:color="auto"/>
              <w:right w:val="dashed" w:sz="4" w:space="0" w:color="auto"/>
            </w:tcBorders>
          </w:tcPr>
          <w:p w:rsidR="007201CA" w:rsidRPr="00037B8A" w:rsidRDefault="00037B8A" w:rsidP="007201CA">
            <w:pPr>
              <w:jc w:val="center"/>
              <w:rPr>
                <w:rFonts w:asciiTheme="majorEastAsia" w:eastAsiaTheme="majorEastAsia" w:hAnsiTheme="majorEastAsia"/>
              </w:rPr>
            </w:pPr>
            <w:r>
              <w:rPr>
                <w:rFonts w:asciiTheme="majorEastAsia" w:eastAsiaTheme="majorEastAsia" w:hAnsiTheme="majorEastAsia" w:hint="eastAsia"/>
              </w:rPr>
              <w:t>（</w:t>
            </w:r>
            <w:r w:rsidR="007201CA" w:rsidRPr="00037B8A">
              <w:rPr>
                <w:rFonts w:asciiTheme="majorEastAsia" w:eastAsiaTheme="majorEastAsia" w:hAnsiTheme="majorEastAsia" w:hint="eastAsia"/>
              </w:rPr>
              <w:t>H30</w:t>
            </w:r>
            <w:r>
              <w:rPr>
                <w:rFonts w:asciiTheme="majorEastAsia" w:eastAsiaTheme="majorEastAsia" w:hAnsiTheme="majorEastAsia" w:hint="eastAsia"/>
              </w:rPr>
              <w:t>）</w:t>
            </w:r>
          </w:p>
        </w:tc>
        <w:tc>
          <w:tcPr>
            <w:tcW w:w="1018" w:type="dxa"/>
            <w:tcBorders>
              <w:top w:val="dashed" w:sz="4" w:space="0" w:color="auto"/>
              <w:left w:val="dashed" w:sz="4" w:space="0" w:color="auto"/>
              <w:bottom w:val="dashed" w:sz="4" w:space="0" w:color="auto"/>
              <w:right w:val="dashed" w:sz="4" w:space="0" w:color="auto"/>
            </w:tcBorders>
          </w:tcPr>
          <w:p w:rsidR="007201CA" w:rsidRPr="00037B8A" w:rsidRDefault="00037B8A" w:rsidP="007201CA">
            <w:pPr>
              <w:jc w:val="center"/>
              <w:rPr>
                <w:rFonts w:asciiTheme="majorEastAsia" w:eastAsiaTheme="majorEastAsia" w:hAnsiTheme="majorEastAsia"/>
              </w:rPr>
            </w:pPr>
            <w:r>
              <w:rPr>
                <w:rFonts w:asciiTheme="majorEastAsia" w:eastAsiaTheme="majorEastAsia" w:hAnsiTheme="majorEastAsia" w:hint="eastAsia"/>
              </w:rPr>
              <w:t>（</w:t>
            </w:r>
            <w:r w:rsidR="007201CA" w:rsidRPr="00037B8A">
              <w:rPr>
                <w:rFonts w:asciiTheme="majorEastAsia" w:eastAsiaTheme="majorEastAsia" w:hAnsiTheme="majorEastAsia" w:hint="eastAsia"/>
              </w:rPr>
              <w:t>H31</w:t>
            </w:r>
            <w:r>
              <w:rPr>
                <w:rFonts w:asciiTheme="majorEastAsia" w:eastAsiaTheme="majorEastAsia" w:hAnsiTheme="majorEastAsia" w:hint="eastAsia"/>
              </w:rPr>
              <w:t>）</w:t>
            </w:r>
          </w:p>
        </w:tc>
        <w:tc>
          <w:tcPr>
            <w:tcW w:w="1019" w:type="dxa"/>
            <w:tcBorders>
              <w:top w:val="dashed" w:sz="4" w:space="0" w:color="auto"/>
              <w:left w:val="dashed" w:sz="4" w:space="0" w:color="auto"/>
              <w:bottom w:val="dashed" w:sz="4" w:space="0" w:color="auto"/>
              <w:right w:val="dashed" w:sz="4" w:space="0" w:color="auto"/>
            </w:tcBorders>
          </w:tcPr>
          <w:p w:rsidR="007201CA" w:rsidRPr="00037B8A" w:rsidRDefault="00037B8A" w:rsidP="007201CA">
            <w:pPr>
              <w:jc w:val="center"/>
              <w:rPr>
                <w:rFonts w:asciiTheme="majorEastAsia" w:eastAsiaTheme="majorEastAsia" w:hAnsiTheme="majorEastAsia"/>
              </w:rPr>
            </w:pPr>
            <w:r>
              <w:rPr>
                <w:rFonts w:asciiTheme="majorEastAsia" w:eastAsiaTheme="majorEastAsia" w:hAnsiTheme="majorEastAsia" w:hint="eastAsia"/>
              </w:rPr>
              <w:t>（</w:t>
            </w:r>
            <w:r w:rsidR="007201CA" w:rsidRPr="00037B8A">
              <w:rPr>
                <w:rFonts w:asciiTheme="majorEastAsia" w:eastAsiaTheme="majorEastAsia" w:hAnsiTheme="majorEastAsia" w:hint="eastAsia"/>
              </w:rPr>
              <w:t>H32</w:t>
            </w:r>
            <w:r>
              <w:rPr>
                <w:rFonts w:asciiTheme="majorEastAsia" w:eastAsiaTheme="majorEastAsia" w:hAnsiTheme="majorEastAsia" w:hint="eastAsia"/>
              </w:rPr>
              <w:t>）</w:t>
            </w:r>
          </w:p>
        </w:tc>
        <w:tc>
          <w:tcPr>
            <w:tcW w:w="1402" w:type="dxa"/>
            <w:tcBorders>
              <w:top w:val="dashed" w:sz="4" w:space="0" w:color="auto"/>
              <w:left w:val="dashed" w:sz="4" w:space="0" w:color="auto"/>
              <w:bottom w:val="dashed" w:sz="4" w:space="0" w:color="auto"/>
              <w:right w:val="dashed" w:sz="4" w:space="0" w:color="auto"/>
            </w:tcBorders>
          </w:tcPr>
          <w:p w:rsidR="007201CA" w:rsidRPr="00037B8A" w:rsidRDefault="00037B8A" w:rsidP="007201CA">
            <w:pPr>
              <w:jc w:val="center"/>
              <w:rPr>
                <w:rFonts w:asciiTheme="majorEastAsia" w:eastAsiaTheme="majorEastAsia" w:hAnsiTheme="majorEastAsia"/>
              </w:rPr>
            </w:pPr>
            <w:r>
              <w:rPr>
                <w:rFonts w:asciiTheme="majorEastAsia" w:eastAsiaTheme="majorEastAsia" w:hAnsiTheme="majorEastAsia" w:hint="eastAsia"/>
              </w:rPr>
              <w:t>（</w:t>
            </w:r>
            <w:r w:rsidR="007201CA" w:rsidRPr="00037B8A">
              <w:rPr>
                <w:rFonts w:asciiTheme="majorEastAsia" w:eastAsiaTheme="majorEastAsia" w:hAnsiTheme="majorEastAsia" w:hint="eastAsia"/>
              </w:rPr>
              <w:t>H33以降</w:t>
            </w:r>
            <w:r>
              <w:rPr>
                <w:rFonts w:asciiTheme="majorEastAsia" w:eastAsiaTheme="majorEastAsia" w:hAnsiTheme="majorEastAsia" w:hint="eastAsia"/>
              </w:rPr>
              <w:t>）</w:t>
            </w:r>
          </w:p>
        </w:tc>
      </w:tr>
      <w:tr w:rsidR="007201CA" w:rsidRPr="00037B8A" w:rsidTr="008B164B">
        <w:tc>
          <w:tcPr>
            <w:tcW w:w="992" w:type="dxa"/>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割合</w:t>
            </w:r>
          </w:p>
        </w:tc>
        <w:tc>
          <w:tcPr>
            <w:tcW w:w="1018" w:type="dxa"/>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90％</w:t>
            </w:r>
          </w:p>
        </w:tc>
        <w:tc>
          <w:tcPr>
            <w:tcW w:w="1019" w:type="dxa"/>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75％</w:t>
            </w:r>
          </w:p>
        </w:tc>
        <w:tc>
          <w:tcPr>
            <w:tcW w:w="1018" w:type="dxa"/>
            <w:tcBorders>
              <w:top w:val="dashed" w:sz="4" w:space="0" w:color="auto"/>
              <w:bottom w:val="dashed" w:sz="4" w:space="0" w:color="auto"/>
              <w:right w:val="dashed" w:sz="4" w:space="0" w:color="auto"/>
            </w:tcBorders>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60%</w:t>
            </w:r>
          </w:p>
        </w:tc>
        <w:tc>
          <w:tcPr>
            <w:tcW w:w="1019" w:type="dxa"/>
            <w:tcBorders>
              <w:top w:val="dashed" w:sz="4" w:space="0" w:color="auto"/>
              <w:left w:val="dashed" w:sz="4" w:space="0" w:color="auto"/>
              <w:bottom w:val="dashed" w:sz="4" w:space="0" w:color="auto"/>
              <w:right w:val="dashed" w:sz="4" w:space="0" w:color="auto"/>
            </w:tcBorders>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45％</w:t>
            </w:r>
          </w:p>
        </w:tc>
        <w:tc>
          <w:tcPr>
            <w:tcW w:w="1018" w:type="dxa"/>
            <w:tcBorders>
              <w:top w:val="dashed" w:sz="4" w:space="0" w:color="auto"/>
              <w:left w:val="dashed" w:sz="4" w:space="0" w:color="auto"/>
              <w:bottom w:val="dashed" w:sz="4" w:space="0" w:color="auto"/>
              <w:right w:val="dashed" w:sz="4" w:space="0" w:color="auto"/>
            </w:tcBorders>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30％</w:t>
            </w:r>
          </w:p>
        </w:tc>
        <w:tc>
          <w:tcPr>
            <w:tcW w:w="1019" w:type="dxa"/>
            <w:tcBorders>
              <w:top w:val="dashed" w:sz="4" w:space="0" w:color="auto"/>
              <w:left w:val="dashed" w:sz="4" w:space="0" w:color="auto"/>
              <w:bottom w:val="dashed" w:sz="4" w:space="0" w:color="auto"/>
              <w:right w:val="dashed" w:sz="4" w:space="0" w:color="auto"/>
            </w:tcBorders>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15%</w:t>
            </w:r>
          </w:p>
        </w:tc>
        <w:tc>
          <w:tcPr>
            <w:tcW w:w="1402" w:type="dxa"/>
            <w:tcBorders>
              <w:top w:val="dashed" w:sz="4" w:space="0" w:color="auto"/>
              <w:left w:val="dashed" w:sz="4" w:space="0" w:color="auto"/>
              <w:bottom w:val="dashed" w:sz="4" w:space="0" w:color="auto"/>
              <w:right w:val="dashed" w:sz="4" w:space="0" w:color="auto"/>
            </w:tcBorders>
          </w:tcPr>
          <w:p w:rsidR="007201CA" w:rsidRPr="00037B8A" w:rsidRDefault="007201CA" w:rsidP="007201CA">
            <w:pPr>
              <w:jc w:val="center"/>
              <w:rPr>
                <w:rFonts w:asciiTheme="majorEastAsia" w:eastAsiaTheme="majorEastAsia" w:hAnsiTheme="majorEastAsia"/>
              </w:rPr>
            </w:pPr>
            <w:r w:rsidRPr="00037B8A">
              <w:rPr>
                <w:rFonts w:asciiTheme="majorEastAsia" w:eastAsiaTheme="majorEastAsia" w:hAnsiTheme="majorEastAsia" w:hint="eastAsia"/>
              </w:rPr>
              <w:t>なし</w:t>
            </w:r>
          </w:p>
        </w:tc>
      </w:tr>
    </w:tbl>
    <w:p w:rsidR="006368A2" w:rsidRPr="002D7F49" w:rsidRDefault="006368A2" w:rsidP="002D7F49">
      <w:pPr>
        <w:ind w:left="840" w:hangingChars="400" w:hanging="840"/>
        <w:rPr>
          <w:sz w:val="18"/>
          <w:szCs w:val="18"/>
        </w:rPr>
      </w:pPr>
      <w:r>
        <w:rPr>
          <w:rFonts w:hint="eastAsia"/>
        </w:rPr>
        <w:t xml:space="preserve">　　　</w:t>
      </w:r>
    </w:p>
    <w:p w:rsidR="006368A2" w:rsidRDefault="007A7A2D" w:rsidP="007A7A2D">
      <w:pPr>
        <w:ind w:firstLineChars="200" w:firstLine="420"/>
      </w:pPr>
      <w:r>
        <w:rPr>
          <w:rFonts w:hint="eastAsia"/>
        </w:rPr>
        <w:t>・激変緩和措置の財源は、府特別調整交付金の２％分を活用する。</w:t>
      </w:r>
    </w:p>
    <w:p w:rsidR="007A7A2D" w:rsidRDefault="00357399" w:rsidP="002A3A88">
      <w:r>
        <w:rPr>
          <w:rFonts w:hint="eastAsia"/>
        </w:rPr>
        <w:t xml:space="preserve">　　・</w:t>
      </w:r>
      <w:r w:rsidRPr="00AE2260">
        <w:rPr>
          <w:rFonts w:asciiTheme="majorEastAsia" w:eastAsiaTheme="majorEastAsia" w:hAnsiTheme="majorEastAsia" w:hint="eastAsia"/>
          <w:u w:val="single"/>
        </w:rPr>
        <w:t>現行の激変緩和措置は４年間</w:t>
      </w:r>
      <w:r w:rsidR="00A44860">
        <w:rPr>
          <w:rFonts w:hint="eastAsia"/>
        </w:rPr>
        <w:t>（H23～H26）実施</w:t>
      </w:r>
    </w:p>
    <w:p w:rsidR="00357399" w:rsidRDefault="00357399" w:rsidP="002A3A88"/>
    <w:tbl>
      <w:tblPr>
        <w:tblStyle w:val="a3"/>
        <w:tblW w:w="0" w:type="auto"/>
        <w:tblInd w:w="392" w:type="dxa"/>
        <w:tblLook w:val="04A0" w:firstRow="1" w:lastRow="0" w:firstColumn="1" w:lastColumn="0" w:noHBand="0" w:noVBand="1"/>
      </w:tblPr>
      <w:tblGrid>
        <w:gridCol w:w="9018"/>
      </w:tblGrid>
      <w:tr w:rsidR="00ED6FF1" w:rsidRPr="00ED6FF1" w:rsidTr="00ED6FF1">
        <w:tc>
          <w:tcPr>
            <w:tcW w:w="9018" w:type="dxa"/>
            <w:tcBorders>
              <w:top w:val="dashed" w:sz="4" w:space="0" w:color="auto"/>
              <w:left w:val="dashed" w:sz="4" w:space="0" w:color="auto"/>
              <w:bottom w:val="dashed" w:sz="4" w:space="0" w:color="auto"/>
              <w:right w:val="dashed" w:sz="4" w:space="0" w:color="auto"/>
            </w:tcBorders>
          </w:tcPr>
          <w:p w:rsidR="00ED6FF1" w:rsidRPr="00973374" w:rsidRDefault="00F02043" w:rsidP="00F0204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注）</w:t>
            </w:r>
            <w:r w:rsidR="00ED6FF1" w:rsidRPr="00973374">
              <w:rPr>
                <w:rFonts w:asciiTheme="minorEastAsia" w:eastAsiaTheme="minorEastAsia" w:hAnsiTheme="minorEastAsia" w:hint="eastAsia"/>
                <w:sz w:val="20"/>
                <w:szCs w:val="20"/>
              </w:rPr>
              <w:t>激変緩和措置の制度設計にあたっては、後期高齢者医療制度導入時の不均一保険料率の実施期間が最長６年であったことを参考に、６年間とする。</w:t>
            </w:r>
          </w:p>
          <w:p w:rsidR="00ED6FF1" w:rsidRPr="00ED6FF1" w:rsidRDefault="00F02043" w:rsidP="00F02043">
            <w:pPr>
              <w:ind w:leftChars="100" w:left="210" w:firstLineChars="100" w:firstLine="200"/>
              <w:rPr>
                <w:sz w:val="20"/>
                <w:szCs w:val="20"/>
              </w:rPr>
            </w:pPr>
            <w:r>
              <w:rPr>
                <w:rFonts w:asciiTheme="minorEastAsia" w:eastAsiaTheme="minorEastAsia" w:hAnsiTheme="minorEastAsia" w:hint="eastAsia"/>
                <w:sz w:val="20"/>
                <w:szCs w:val="20"/>
              </w:rPr>
              <w:t>ただし</w:t>
            </w:r>
            <w:r w:rsidR="00ED6FF1" w:rsidRPr="00973374">
              <w:rPr>
                <w:rFonts w:asciiTheme="minorEastAsia" w:eastAsiaTheme="minorEastAsia" w:hAnsiTheme="minorEastAsia" w:hint="eastAsia"/>
                <w:sz w:val="20"/>
                <w:szCs w:val="20"/>
              </w:rPr>
              <w:t>、保財共事業自体が都道府県化をもって廃止となることから、</w:t>
            </w:r>
            <w:r w:rsidR="001D28E1" w:rsidRPr="001D28E1">
              <w:rPr>
                <w:rFonts w:asciiTheme="majorEastAsia" w:eastAsiaTheme="majorEastAsia" w:hAnsiTheme="majorEastAsia" w:hint="eastAsia"/>
                <w:sz w:val="20"/>
                <w:szCs w:val="20"/>
                <w:u w:val="single"/>
              </w:rPr>
              <w:t>実質的に保険者に影響があるのは</w:t>
            </w:r>
            <w:r w:rsidR="00ED6FF1" w:rsidRPr="001D28E1">
              <w:rPr>
                <w:rFonts w:asciiTheme="majorEastAsia" w:eastAsiaTheme="majorEastAsia" w:hAnsiTheme="majorEastAsia" w:hint="eastAsia"/>
                <w:sz w:val="20"/>
                <w:szCs w:val="20"/>
                <w:u w:val="single"/>
              </w:rPr>
              <w:t>28年度までの２年</w:t>
            </w:r>
            <w:r w:rsidR="001D28E1">
              <w:rPr>
                <w:rFonts w:asciiTheme="majorEastAsia" w:eastAsiaTheme="majorEastAsia" w:hAnsiTheme="majorEastAsia" w:hint="eastAsia"/>
                <w:sz w:val="20"/>
                <w:szCs w:val="20"/>
                <w:u w:val="single"/>
              </w:rPr>
              <w:t>間</w:t>
            </w:r>
            <w:r w:rsidR="00ED6FF1" w:rsidRPr="00973374">
              <w:rPr>
                <w:rFonts w:asciiTheme="minorEastAsia" w:eastAsiaTheme="minorEastAsia" w:hAnsiTheme="minorEastAsia" w:hint="eastAsia"/>
                <w:sz w:val="20"/>
                <w:szCs w:val="20"/>
              </w:rPr>
              <w:t>（</w:t>
            </w:r>
            <w:r w:rsidR="001D28E1" w:rsidRPr="00973374">
              <w:rPr>
                <w:rFonts w:asciiTheme="minorEastAsia" w:eastAsiaTheme="minorEastAsia" w:hAnsiTheme="minorEastAsia" w:hint="eastAsia"/>
                <w:sz w:val="20"/>
                <w:szCs w:val="20"/>
              </w:rPr>
              <w:t>又は29年度</w:t>
            </w:r>
            <w:r w:rsidR="001D28E1">
              <w:rPr>
                <w:rFonts w:asciiTheme="minorEastAsia" w:eastAsiaTheme="minorEastAsia" w:hAnsiTheme="minorEastAsia" w:hint="eastAsia"/>
                <w:sz w:val="20"/>
                <w:szCs w:val="20"/>
              </w:rPr>
              <w:t>までの</w:t>
            </w:r>
            <w:r w:rsidR="00ED6FF1" w:rsidRPr="00973374">
              <w:rPr>
                <w:rFonts w:asciiTheme="minorEastAsia" w:eastAsiaTheme="minorEastAsia" w:hAnsiTheme="minorEastAsia" w:hint="eastAsia"/>
                <w:sz w:val="20"/>
                <w:szCs w:val="20"/>
              </w:rPr>
              <w:t>３年間</w:t>
            </w:r>
            <w:r w:rsidR="001D28E1">
              <w:rPr>
                <w:rFonts w:asciiTheme="minorEastAsia" w:eastAsiaTheme="minorEastAsia" w:hAnsiTheme="minorEastAsia" w:hint="eastAsia"/>
                <w:sz w:val="20"/>
                <w:szCs w:val="20"/>
              </w:rPr>
              <w:t>）</w:t>
            </w:r>
            <w:r w:rsidR="00ED6FF1" w:rsidRPr="00973374">
              <w:rPr>
                <w:rFonts w:asciiTheme="minorEastAsia" w:eastAsiaTheme="minorEastAsia" w:hAnsiTheme="minorEastAsia" w:hint="eastAsia"/>
                <w:sz w:val="20"/>
                <w:szCs w:val="20"/>
              </w:rPr>
              <w:t>の激変緩和措置の措置状況</w:t>
            </w:r>
            <w:r w:rsidR="001D28E1">
              <w:rPr>
                <w:rFonts w:asciiTheme="minorEastAsia" w:eastAsiaTheme="minorEastAsia" w:hAnsiTheme="minorEastAsia" w:hint="eastAsia"/>
                <w:sz w:val="20"/>
                <w:szCs w:val="20"/>
              </w:rPr>
              <w:t>と</w:t>
            </w:r>
            <w:r w:rsidR="00ED6FF1" w:rsidRPr="00973374">
              <w:rPr>
                <w:rFonts w:asciiTheme="minorEastAsia" w:eastAsiaTheme="minorEastAsia" w:hAnsiTheme="minorEastAsia" w:hint="eastAsia"/>
                <w:sz w:val="20"/>
                <w:szCs w:val="20"/>
              </w:rPr>
              <w:t>なる。</w:t>
            </w:r>
          </w:p>
        </w:tc>
      </w:tr>
    </w:tbl>
    <w:p w:rsidR="00ED6FF1" w:rsidRPr="007A7A2D" w:rsidRDefault="00ED6FF1" w:rsidP="002A3A88"/>
    <w:p w:rsidR="007201CA" w:rsidRPr="006F6F74" w:rsidRDefault="007201CA" w:rsidP="002A3A88">
      <w:pPr>
        <w:rPr>
          <w:rFonts w:asciiTheme="majorEastAsia" w:eastAsiaTheme="majorEastAsia" w:hAnsiTheme="majorEastAsia"/>
        </w:rPr>
      </w:pPr>
      <w:r w:rsidRPr="006F6F74">
        <w:rPr>
          <w:rFonts w:asciiTheme="majorEastAsia" w:eastAsiaTheme="majorEastAsia" w:hAnsiTheme="majorEastAsia" w:hint="eastAsia"/>
        </w:rPr>
        <w:t xml:space="preserve">　③　激変緩和措置の対象とする条件</w:t>
      </w:r>
      <w:r w:rsidR="00357399">
        <w:rPr>
          <w:rFonts w:asciiTheme="majorEastAsia" w:eastAsiaTheme="majorEastAsia" w:hAnsiTheme="majorEastAsia" w:hint="eastAsia"/>
        </w:rPr>
        <w:t xml:space="preserve">　⇒　</w:t>
      </w:r>
      <w:r w:rsidR="00020F33" w:rsidRPr="00357399">
        <w:rPr>
          <w:rFonts w:asciiTheme="majorEastAsia" w:eastAsiaTheme="majorEastAsia" w:hAnsiTheme="majorEastAsia" w:hint="eastAsia"/>
          <w:bdr w:val="single" w:sz="4" w:space="0" w:color="auto"/>
        </w:rPr>
        <w:t>現行どおり</w:t>
      </w:r>
      <w:r w:rsidR="003546F6">
        <w:rPr>
          <w:rFonts w:asciiTheme="majorEastAsia" w:eastAsiaTheme="majorEastAsia" w:hAnsiTheme="majorEastAsia" w:hint="eastAsia"/>
          <w:bdr w:val="single" w:sz="4" w:space="0" w:color="auto"/>
        </w:rPr>
        <w:t>（変更なし）</w:t>
      </w:r>
    </w:p>
    <w:p w:rsidR="00F02104" w:rsidRPr="002A3A88" w:rsidRDefault="00020F33" w:rsidP="00782BAB">
      <w:pPr>
        <w:ind w:leftChars="200" w:left="630" w:hangingChars="100" w:hanging="210"/>
      </w:pPr>
      <w:r w:rsidRPr="002A3A88">
        <w:rPr>
          <w:rFonts w:hint="eastAsia"/>
        </w:rPr>
        <w:t>・</w:t>
      </w:r>
      <w:r w:rsidR="002A3A88">
        <w:rPr>
          <w:rFonts w:hint="eastAsia"/>
        </w:rPr>
        <w:t xml:space="preserve">　</w:t>
      </w:r>
      <w:r w:rsidR="00F02104" w:rsidRPr="002A3A88">
        <w:rPr>
          <w:rFonts w:hint="eastAsia"/>
        </w:rPr>
        <w:t>保険料(税)</w:t>
      </w:r>
      <w:r w:rsidR="00782BAB">
        <w:rPr>
          <w:rFonts w:hint="eastAsia"/>
        </w:rPr>
        <w:t>率計算時において、</w:t>
      </w:r>
      <w:r w:rsidR="00F02104" w:rsidRPr="002A3A88">
        <w:rPr>
          <w:rFonts w:hint="eastAsia"/>
        </w:rPr>
        <w:t>保険財政共同安定化事業の交付金と拠出金の収支差を考慮していること。</w:t>
      </w:r>
    </w:p>
    <w:p w:rsidR="00F02104" w:rsidRPr="002A3A88" w:rsidRDefault="00020F33" w:rsidP="002A3A88">
      <w:pPr>
        <w:ind w:leftChars="200" w:left="630" w:hangingChars="100" w:hanging="210"/>
      </w:pPr>
      <w:r w:rsidRPr="002A3A88">
        <w:rPr>
          <w:rFonts w:hint="eastAsia"/>
        </w:rPr>
        <w:t>・</w:t>
      </w:r>
      <w:r w:rsidR="002A3A88">
        <w:rPr>
          <w:rFonts w:hint="eastAsia"/>
        </w:rPr>
        <w:t xml:space="preserve">　</w:t>
      </w:r>
      <w:r w:rsidRPr="002A3A88">
        <w:rPr>
          <w:rFonts w:hint="eastAsia"/>
        </w:rPr>
        <w:t>保険料(税)算定について、</w:t>
      </w:r>
      <w:r w:rsidR="00F02104" w:rsidRPr="002A3A88">
        <w:rPr>
          <w:rFonts w:hint="eastAsia"/>
        </w:rPr>
        <w:t>政令の基準の算定によらず、保険料(税)を据え置くなどしていないこと。</w:t>
      </w:r>
    </w:p>
    <w:p w:rsidR="00F02104" w:rsidRDefault="00020F33" w:rsidP="002A3A88">
      <w:pPr>
        <w:ind w:firstLineChars="200" w:firstLine="420"/>
      </w:pPr>
      <w:r w:rsidRPr="002A3A88">
        <w:rPr>
          <w:rFonts w:hint="eastAsia"/>
        </w:rPr>
        <w:t>・</w:t>
      </w:r>
      <w:r w:rsidR="002A3A88">
        <w:rPr>
          <w:rFonts w:hint="eastAsia"/>
        </w:rPr>
        <w:t xml:space="preserve">　</w:t>
      </w:r>
      <w:r w:rsidR="00F02104" w:rsidRPr="002A3A88">
        <w:rPr>
          <w:rFonts w:hint="eastAsia"/>
        </w:rPr>
        <w:t>予定収納率のかい離が５ポイントを超えていないこと。</w:t>
      </w:r>
    </w:p>
    <w:p w:rsidR="00ED6FF1" w:rsidRPr="002A3A88" w:rsidRDefault="00ED6FF1" w:rsidP="002A3A88">
      <w:pPr>
        <w:ind w:firstLineChars="200" w:firstLine="420"/>
      </w:pPr>
    </w:p>
    <w:tbl>
      <w:tblPr>
        <w:tblStyle w:val="a3"/>
        <w:tblW w:w="0" w:type="auto"/>
        <w:tblInd w:w="420" w:type="dxa"/>
        <w:tblLook w:val="04A0" w:firstRow="1" w:lastRow="0" w:firstColumn="1" w:lastColumn="0" w:noHBand="0" w:noVBand="1"/>
      </w:tblPr>
      <w:tblGrid>
        <w:gridCol w:w="9008"/>
      </w:tblGrid>
      <w:tr w:rsidR="00ED6FF1" w:rsidRPr="00ED6FF1" w:rsidTr="00ED6FF1">
        <w:tc>
          <w:tcPr>
            <w:tcW w:w="9410" w:type="dxa"/>
            <w:tcBorders>
              <w:top w:val="dashed" w:sz="4" w:space="0" w:color="auto"/>
              <w:left w:val="dashed" w:sz="4" w:space="0" w:color="auto"/>
              <w:bottom w:val="dashed" w:sz="4" w:space="0" w:color="auto"/>
              <w:right w:val="dashed" w:sz="4" w:space="0" w:color="auto"/>
            </w:tcBorders>
          </w:tcPr>
          <w:p w:rsidR="00ED6FF1" w:rsidRPr="00ED6FF1" w:rsidRDefault="00ED6FF1" w:rsidP="00ED6FF1">
            <w:pPr>
              <w:ind w:firstLineChars="100" w:firstLine="200"/>
              <w:rPr>
                <w:sz w:val="20"/>
                <w:szCs w:val="20"/>
              </w:rPr>
            </w:pPr>
            <w:r w:rsidRPr="00ED6FF1">
              <w:rPr>
                <w:rFonts w:hint="eastAsia"/>
                <w:sz w:val="20"/>
                <w:szCs w:val="20"/>
              </w:rPr>
              <w:t>保険者の保険財政運営状況によって激変緩和措置を受けられなくなることの影響が被保険者に直接及ぶことは適切でなく、可能な限り被保険者への影響を最小限とする観点から、激変緩和措置の交付条件は比較的緩い条件で措置し、できるだけ交付対象となるようにする。</w:t>
            </w:r>
          </w:p>
        </w:tc>
      </w:tr>
    </w:tbl>
    <w:p w:rsidR="006368A2" w:rsidRPr="00DD14B3" w:rsidRDefault="006368A2" w:rsidP="006368A2">
      <w:pPr>
        <w:ind w:leftChars="100" w:left="420" w:hangingChars="100" w:hanging="210"/>
      </w:pPr>
    </w:p>
    <w:sectPr w:rsidR="006368A2" w:rsidRPr="00DD14B3" w:rsidSect="002D7F49">
      <w:pgSz w:w="11906" w:h="16838"/>
      <w:pgMar w:top="1560" w:right="1276" w:bottom="1276"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21" w:rsidRDefault="00CF4121" w:rsidP="007A7A2D">
      <w:r>
        <w:separator/>
      </w:r>
    </w:p>
  </w:endnote>
  <w:endnote w:type="continuationSeparator" w:id="0">
    <w:p w:rsidR="00CF4121" w:rsidRDefault="00CF4121" w:rsidP="007A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21" w:rsidRDefault="00CF4121" w:rsidP="007A7A2D">
      <w:r>
        <w:separator/>
      </w:r>
    </w:p>
  </w:footnote>
  <w:footnote w:type="continuationSeparator" w:id="0">
    <w:p w:rsidR="00CF4121" w:rsidRDefault="00CF4121" w:rsidP="007A7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CA"/>
    <w:rsid w:val="00020F33"/>
    <w:rsid w:val="00024F94"/>
    <w:rsid w:val="00037B8A"/>
    <w:rsid w:val="00165EB4"/>
    <w:rsid w:val="001D28E1"/>
    <w:rsid w:val="002057E8"/>
    <w:rsid w:val="00291B58"/>
    <w:rsid w:val="002A3A88"/>
    <w:rsid w:val="002D7F49"/>
    <w:rsid w:val="0030122A"/>
    <w:rsid w:val="0034096A"/>
    <w:rsid w:val="003546F6"/>
    <w:rsid w:val="00357399"/>
    <w:rsid w:val="003D0760"/>
    <w:rsid w:val="003D6FC5"/>
    <w:rsid w:val="004B2ACF"/>
    <w:rsid w:val="004F2B27"/>
    <w:rsid w:val="00546F9F"/>
    <w:rsid w:val="006368A2"/>
    <w:rsid w:val="006F6F74"/>
    <w:rsid w:val="007201CA"/>
    <w:rsid w:val="00782BAB"/>
    <w:rsid w:val="007A7A2D"/>
    <w:rsid w:val="008B164B"/>
    <w:rsid w:val="00905758"/>
    <w:rsid w:val="00973374"/>
    <w:rsid w:val="009C03DC"/>
    <w:rsid w:val="009C5AF6"/>
    <w:rsid w:val="009F0286"/>
    <w:rsid w:val="00A44860"/>
    <w:rsid w:val="00AB4E9B"/>
    <w:rsid w:val="00AE2260"/>
    <w:rsid w:val="00C93721"/>
    <w:rsid w:val="00CF4121"/>
    <w:rsid w:val="00D36AA5"/>
    <w:rsid w:val="00D52888"/>
    <w:rsid w:val="00DD14B3"/>
    <w:rsid w:val="00E376E9"/>
    <w:rsid w:val="00EB2C80"/>
    <w:rsid w:val="00ED6FF1"/>
    <w:rsid w:val="00F02043"/>
    <w:rsid w:val="00F02104"/>
    <w:rsid w:val="00F118CE"/>
    <w:rsid w:val="00FD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6F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F74"/>
    <w:rPr>
      <w:rFonts w:asciiTheme="majorHAnsi" w:eastAsiaTheme="majorEastAsia" w:hAnsiTheme="majorHAnsi" w:cstheme="majorBidi"/>
      <w:sz w:val="18"/>
      <w:szCs w:val="18"/>
    </w:rPr>
  </w:style>
  <w:style w:type="paragraph" w:styleId="a6">
    <w:name w:val="header"/>
    <w:basedOn w:val="a"/>
    <w:link w:val="a7"/>
    <w:uiPriority w:val="99"/>
    <w:unhideWhenUsed/>
    <w:rsid w:val="007A7A2D"/>
    <w:pPr>
      <w:tabs>
        <w:tab w:val="center" w:pos="4252"/>
        <w:tab w:val="right" w:pos="8504"/>
      </w:tabs>
      <w:snapToGrid w:val="0"/>
    </w:pPr>
  </w:style>
  <w:style w:type="character" w:customStyle="1" w:styleId="a7">
    <w:name w:val="ヘッダー (文字)"/>
    <w:basedOn w:val="a0"/>
    <w:link w:val="a6"/>
    <w:uiPriority w:val="99"/>
    <w:rsid w:val="007A7A2D"/>
  </w:style>
  <w:style w:type="paragraph" w:styleId="a8">
    <w:name w:val="footer"/>
    <w:basedOn w:val="a"/>
    <w:link w:val="a9"/>
    <w:uiPriority w:val="99"/>
    <w:unhideWhenUsed/>
    <w:rsid w:val="007A7A2D"/>
    <w:pPr>
      <w:tabs>
        <w:tab w:val="center" w:pos="4252"/>
        <w:tab w:val="right" w:pos="8504"/>
      </w:tabs>
      <w:snapToGrid w:val="0"/>
    </w:pPr>
  </w:style>
  <w:style w:type="character" w:customStyle="1" w:styleId="a9">
    <w:name w:val="フッター (文字)"/>
    <w:basedOn w:val="a0"/>
    <w:link w:val="a8"/>
    <w:uiPriority w:val="99"/>
    <w:rsid w:val="007A7A2D"/>
  </w:style>
  <w:style w:type="paragraph" w:styleId="aa">
    <w:name w:val="Note Heading"/>
    <w:basedOn w:val="a"/>
    <w:next w:val="a"/>
    <w:link w:val="ab"/>
    <w:uiPriority w:val="99"/>
    <w:semiHidden/>
    <w:unhideWhenUsed/>
    <w:rsid w:val="009F0286"/>
    <w:pPr>
      <w:jc w:val="center"/>
    </w:pPr>
  </w:style>
  <w:style w:type="character" w:customStyle="1" w:styleId="ab">
    <w:name w:val="記 (文字)"/>
    <w:basedOn w:val="a0"/>
    <w:link w:val="aa"/>
    <w:uiPriority w:val="99"/>
    <w:semiHidden/>
    <w:rsid w:val="009F0286"/>
  </w:style>
  <w:style w:type="paragraph" w:styleId="ac">
    <w:name w:val="Closing"/>
    <w:basedOn w:val="a"/>
    <w:link w:val="ad"/>
    <w:uiPriority w:val="99"/>
    <w:semiHidden/>
    <w:unhideWhenUsed/>
    <w:rsid w:val="009F0286"/>
    <w:pPr>
      <w:jc w:val="right"/>
    </w:pPr>
  </w:style>
  <w:style w:type="character" w:customStyle="1" w:styleId="ad">
    <w:name w:val="結語 (文字)"/>
    <w:basedOn w:val="a0"/>
    <w:link w:val="ac"/>
    <w:uiPriority w:val="99"/>
    <w:semiHidden/>
    <w:rsid w:val="009F0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6F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F74"/>
    <w:rPr>
      <w:rFonts w:asciiTheme="majorHAnsi" w:eastAsiaTheme="majorEastAsia" w:hAnsiTheme="majorHAnsi" w:cstheme="majorBidi"/>
      <w:sz w:val="18"/>
      <w:szCs w:val="18"/>
    </w:rPr>
  </w:style>
  <w:style w:type="paragraph" w:styleId="a6">
    <w:name w:val="header"/>
    <w:basedOn w:val="a"/>
    <w:link w:val="a7"/>
    <w:uiPriority w:val="99"/>
    <w:unhideWhenUsed/>
    <w:rsid w:val="007A7A2D"/>
    <w:pPr>
      <w:tabs>
        <w:tab w:val="center" w:pos="4252"/>
        <w:tab w:val="right" w:pos="8504"/>
      </w:tabs>
      <w:snapToGrid w:val="0"/>
    </w:pPr>
  </w:style>
  <w:style w:type="character" w:customStyle="1" w:styleId="a7">
    <w:name w:val="ヘッダー (文字)"/>
    <w:basedOn w:val="a0"/>
    <w:link w:val="a6"/>
    <w:uiPriority w:val="99"/>
    <w:rsid w:val="007A7A2D"/>
  </w:style>
  <w:style w:type="paragraph" w:styleId="a8">
    <w:name w:val="footer"/>
    <w:basedOn w:val="a"/>
    <w:link w:val="a9"/>
    <w:uiPriority w:val="99"/>
    <w:unhideWhenUsed/>
    <w:rsid w:val="007A7A2D"/>
    <w:pPr>
      <w:tabs>
        <w:tab w:val="center" w:pos="4252"/>
        <w:tab w:val="right" w:pos="8504"/>
      </w:tabs>
      <w:snapToGrid w:val="0"/>
    </w:pPr>
  </w:style>
  <w:style w:type="character" w:customStyle="1" w:styleId="a9">
    <w:name w:val="フッター (文字)"/>
    <w:basedOn w:val="a0"/>
    <w:link w:val="a8"/>
    <w:uiPriority w:val="99"/>
    <w:rsid w:val="007A7A2D"/>
  </w:style>
  <w:style w:type="paragraph" w:styleId="aa">
    <w:name w:val="Note Heading"/>
    <w:basedOn w:val="a"/>
    <w:next w:val="a"/>
    <w:link w:val="ab"/>
    <w:uiPriority w:val="99"/>
    <w:semiHidden/>
    <w:unhideWhenUsed/>
    <w:rsid w:val="009F0286"/>
    <w:pPr>
      <w:jc w:val="center"/>
    </w:pPr>
  </w:style>
  <w:style w:type="character" w:customStyle="1" w:styleId="ab">
    <w:name w:val="記 (文字)"/>
    <w:basedOn w:val="a0"/>
    <w:link w:val="aa"/>
    <w:uiPriority w:val="99"/>
    <w:semiHidden/>
    <w:rsid w:val="009F0286"/>
  </w:style>
  <w:style w:type="paragraph" w:styleId="ac">
    <w:name w:val="Closing"/>
    <w:basedOn w:val="a"/>
    <w:link w:val="ad"/>
    <w:uiPriority w:val="99"/>
    <w:semiHidden/>
    <w:unhideWhenUsed/>
    <w:rsid w:val="009F0286"/>
    <w:pPr>
      <w:jc w:val="right"/>
    </w:pPr>
  </w:style>
  <w:style w:type="character" w:customStyle="1" w:styleId="ad">
    <w:name w:val="結語 (文字)"/>
    <w:basedOn w:val="a0"/>
    <w:link w:val="ac"/>
    <w:uiPriority w:val="99"/>
    <w:semiHidden/>
    <w:rsid w:val="009F0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7090E-0ED2-49D2-98B3-A8345AA5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16</cp:revision>
  <cp:lastPrinted>2014-12-17T01:14:00Z</cp:lastPrinted>
  <dcterms:created xsi:type="dcterms:W3CDTF">2014-10-10T03:17:00Z</dcterms:created>
  <dcterms:modified xsi:type="dcterms:W3CDTF">2014-12-17T01:14:00Z</dcterms:modified>
</cp:coreProperties>
</file>