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98" w:rsidRPr="00360132" w:rsidRDefault="00483AFC" w:rsidP="00360132">
      <w:pPr>
        <w:pStyle w:val="a6"/>
        <w:rPr>
          <w:sz w:val="32"/>
          <w:szCs w:val="32"/>
        </w:rPr>
      </w:pPr>
      <w:r w:rsidRPr="00360132">
        <w:rPr>
          <w:rFonts w:hint="eastAsia"/>
          <w:sz w:val="32"/>
          <w:szCs w:val="32"/>
        </w:rPr>
        <w:t>第</w:t>
      </w:r>
      <w:r w:rsidR="00E977B1">
        <w:rPr>
          <w:rFonts w:hint="eastAsia"/>
          <w:sz w:val="32"/>
          <w:szCs w:val="32"/>
        </w:rPr>
        <w:t>３期</w:t>
      </w:r>
      <w:r w:rsidR="00DC6A28" w:rsidRPr="00360132">
        <w:rPr>
          <w:rFonts w:hint="eastAsia"/>
          <w:sz w:val="32"/>
          <w:szCs w:val="32"/>
        </w:rPr>
        <w:t>大阪府</w:t>
      </w:r>
      <w:r w:rsidR="00E977B1">
        <w:rPr>
          <w:rFonts w:hint="eastAsia"/>
          <w:sz w:val="32"/>
          <w:szCs w:val="32"/>
        </w:rPr>
        <w:t>医療費適正化</w:t>
      </w:r>
      <w:r w:rsidR="000F129F">
        <w:rPr>
          <w:rFonts w:hint="eastAsia"/>
          <w:sz w:val="32"/>
          <w:szCs w:val="32"/>
        </w:rPr>
        <w:t>計画</w:t>
      </w:r>
      <w:r w:rsidRPr="00360132">
        <w:rPr>
          <w:rFonts w:hint="eastAsia"/>
          <w:sz w:val="32"/>
          <w:szCs w:val="32"/>
        </w:rPr>
        <w:t xml:space="preserve">　正誤表</w:t>
      </w:r>
    </w:p>
    <w:p w:rsidR="00360132" w:rsidRPr="00132304" w:rsidRDefault="00483AFC" w:rsidP="00483AFC">
      <w:pPr>
        <w:jc w:val="right"/>
        <w:rPr>
          <w:sz w:val="18"/>
          <w:szCs w:val="18"/>
        </w:rPr>
      </w:pPr>
      <w:r w:rsidRPr="00132304">
        <w:rPr>
          <w:rFonts w:hint="eastAsia"/>
          <w:sz w:val="18"/>
          <w:szCs w:val="18"/>
        </w:rPr>
        <w:t>※下線部は正誤箇所</w:t>
      </w:r>
    </w:p>
    <w:tbl>
      <w:tblPr>
        <w:tblStyle w:val="a3"/>
        <w:tblpPr w:leftFromText="142" w:rightFromText="142" w:horzAnchor="margin" w:tblpX="108" w:tblpY="124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812"/>
        <w:gridCol w:w="5387"/>
        <w:gridCol w:w="1167"/>
      </w:tblGrid>
      <w:tr w:rsidR="000A7E82" w:rsidTr="00B03613">
        <w:trPr>
          <w:trHeight w:val="561"/>
        </w:trPr>
        <w:tc>
          <w:tcPr>
            <w:tcW w:w="534" w:type="dxa"/>
            <w:vAlign w:val="center"/>
          </w:tcPr>
          <w:p w:rsidR="00360132" w:rsidRPr="00132304" w:rsidRDefault="000F129F" w:rsidP="000F129F">
            <w:pPr>
              <w:pStyle w:val="a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頁</w:t>
            </w:r>
          </w:p>
        </w:tc>
        <w:tc>
          <w:tcPr>
            <w:tcW w:w="2409" w:type="dxa"/>
            <w:vAlign w:val="center"/>
          </w:tcPr>
          <w:p w:rsidR="00360132" w:rsidRPr="00132304" w:rsidRDefault="00360132" w:rsidP="000F129F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360132" w:rsidRPr="00132304" w:rsidRDefault="00360132" w:rsidP="000F129F">
            <w:pPr>
              <w:pStyle w:val="a6"/>
              <w:rPr>
                <w:sz w:val="20"/>
                <w:szCs w:val="20"/>
              </w:rPr>
            </w:pPr>
            <w:r w:rsidRPr="00132304">
              <w:rPr>
                <w:rFonts w:hint="eastAsia"/>
                <w:sz w:val="20"/>
                <w:szCs w:val="20"/>
              </w:rPr>
              <w:t>誤</w:t>
            </w:r>
          </w:p>
        </w:tc>
        <w:tc>
          <w:tcPr>
            <w:tcW w:w="5387" w:type="dxa"/>
            <w:vAlign w:val="center"/>
          </w:tcPr>
          <w:p w:rsidR="00360132" w:rsidRPr="00132304" w:rsidRDefault="00360132" w:rsidP="000F129F">
            <w:pPr>
              <w:pStyle w:val="a6"/>
              <w:rPr>
                <w:sz w:val="20"/>
                <w:szCs w:val="20"/>
              </w:rPr>
            </w:pPr>
            <w:r w:rsidRPr="00132304">
              <w:rPr>
                <w:rFonts w:hint="eastAsia"/>
                <w:sz w:val="20"/>
                <w:szCs w:val="20"/>
              </w:rPr>
              <w:t>正</w:t>
            </w:r>
          </w:p>
        </w:tc>
        <w:tc>
          <w:tcPr>
            <w:tcW w:w="1167" w:type="dxa"/>
            <w:vAlign w:val="center"/>
          </w:tcPr>
          <w:p w:rsidR="00360132" w:rsidRPr="00132304" w:rsidRDefault="000F129F" w:rsidP="000F129F">
            <w:pPr>
              <w:pStyle w:val="a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BB3487" w:rsidRPr="000F129F" w:rsidTr="00B03613">
        <w:trPr>
          <w:trHeight w:val="1550"/>
        </w:trPr>
        <w:tc>
          <w:tcPr>
            <w:tcW w:w="534" w:type="dxa"/>
            <w:vAlign w:val="center"/>
          </w:tcPr>
          <w:p w:rsidR="00BB3487" w:rsidRPr="00936D66" w:rsidRDefault="00E977B1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2409" w:type="dxa"/>
            <w:vAlign w:val="center"/>
          </w:tcPr>
          <w:p w:rsidR="00614219" w:rsidRPr="00936D66" w:rsidRDefault="00E977B1" w:rsidP="00E977B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③診療種類別医療費</w:t>
            </w:r>
          </w:p>
        </w:tc>
        <w:tc>
          <w:tcPr>
            <w:tcW w:w="5812" w:type="dxa"/>
            <w:vAlign w:val="center"/>
          </w:tcPr>
          <w:p w:rsidR="00BB3487" w:rsidRPr="00936D66" w:rsidRDefault="00E977B1" w:rsidP="00E977B1">
            <w:pPr>
              <w:pStyle w:val="ae"/>
              <w:snapToGrid w:val="0"/>
              <w:spacing w:line="240" w:lineRule="auto"/>
              <w:ind w:leftChars="0"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 w:rsidRPr="00E977B1">
              <w:rPr>
                <w:rFonts w:asciiTheme="minorEastAsia" w:eastAsiaTheme="minorEastAsia" w:hAnsiTheme="minorEastAsia" w:hint="eastAsia"/>
                <w:sz w:val="20"/>
              </w:rPr>
              <w:t>○診療種類別では、いずれの項目（入院、入院外＋調剤、歯科）とも全国平均よりも高くなっています。医療費の３要素別では、「入院外＋調剤」の「１件当たり日数」、「入院」の「１日当たり</w:t>
            </w:r>
            <w:r w:rsidRPr="00E977B1">
              <w:rPr>
                <w:rFonts w:asciiTheme="minorEastAsia" w:eastAsiaTheme="minorEastAsia" w:hAnsiTheme="minorEastAsia" w:hint="eastAsia"/>
                <w:sz w:val="20"/>
                <w:u w:val="single"/>
              </w:rPr>
              <w:t>日数</w:t>
            </w:r>
            <w:r w:rsidRPr="00E977B1">
              <w:rPr>
                <w:rFonts w:asciiTheme="minorEastAsia" w:eastAsiaTheme="minorEastAsia" w:hAnsiTheme="minorEastAsia" w:hint="eastAsia"/>
                <w:sz w:val="20"/>
              </w:rPr>
              <w:t>」が全国平均よりも高くなっています。（３要素別はデータ編参照）</w:t>
            </w:r>
          </w:p>
        </w:tc>
        <w:tc>
          <w:tcPr>
            <w:tcW w:w="5387" w:type="dxa"/>
            <w:vAlign w:val="center"/>
          </w:tcPr>
          <w:p w:rsidR="00BB3487" w:rsidRPr="00936D66" w:rsidRDefault="00E977B1" w:rsidP="00E977B1">
            <w:pPr>
              <w:pStyle w:val="ae"/>
              <w:snapToGrid w:val="0"/>
              <w:spacing w:line="240" w:lineRule="auto"/>
              <w:ind w:leftChars="0"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 w:rsidRPr="00E977B1">
              <w:rPr>
                <w:rFonts w:asciiTheme="minorEastAsia" w:eastAsiaTheme="minorEastAsia" w:hAnsiTheme="minorEastAsia" w:hint="eastAsia"/>
                <w:sz w:val="20"/>
              </w:rPr>
              <w:t>○診療種類別では、いずれの項目（入院、入院外＋調剤、歯科）とも全国平均よりも高くなっています。医療費の３要素別では、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「入院外＋調剤」の「１件当たり日数」、「入院」の「１日当たり</w:t>
            </w:r>
            <w:r w:rsidRPr="00E977B1">
              <w:rPr>
                <w:rFonts w:asciiTheme="minorEastAsia" w:eastAsiaTheme="minorEastAsia" w:hAnsiTheme="minorEastAsia" w:hint="eastAsia"/>
                <w:sz w:val="20"/>
                <w:u w:val="single"/>
              </w:rPr>
              <w:t>医療費</w:t>
            </w:r>
            <w:r w:rsidRPr="00E977B1">
              <w:rPr>
                <w:rFonts w:asciiTheme="minorEastAsia" w:eastAsiaTheme="minorEastAsia" w:hAnsiTheme="minorEastAsia" w:hint="eastAsia"/>
                <w:sz w:val="20"/>
              </w:rPr>
              <w:t>」が全国平均よりも高くなっています。（３要素別はデータ編参照）</w:t>
            </w:r>
          </w:p>
        </w:tc>
        <w:tc>
          <w:tcPr>
            <w:tcW w:w="1167" w:type="dxa"/>
            <w:vAlign w:val="center"/>
          </w:tcPr>
          <w:p w:rsidR="00BB3487" w:rsidRPr="00936D66" w:rsidRDefault="00EF7F4D" w:rsidP="007E4A4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平成30年6月訂正</w:t>
            </w:r>
          </w:p>
        </w:tc>
      </w:tr>
      <w:tr w:rsidR="00A71C5F" w:rsidRPr="000F129F" w:rsidTr="003E6E6D">
        <w:trPr>
          <w:trHeight w:val="4520"/>
        </w:trPr>
        <w:tc>
          <w:tcPr>
            <w:tcW w:w="534" w:type="dxa"/>
            <w:vAlign w:val="center"/>
          </w:tcPr>
          <w:p w:rsidR="00A71C5F" w:rsidRDefault="00A71C5F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2409" w:type="dxa"/>
            <w:vAlign w:val="center"/>
          </w:tcPr>
          <w:p w:rsidR="00A71C5F" w:rsidRDefault="00A71C5F" w:rsidP="007E4A4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図48</w:t>
            </w:r>
            <w:r w:rsidR="007E4A4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新規透析導入率×1人当たり年間医療費</w:t>
            </w:r>
          </w:p>
        </w:tc>
        <w:tc>
          <w:tcPr>
            <w:tcW w:w="5812" w:type="dxa"/>
            <w:vAlign w:val="center"/>
          </w:tcPr>
          <w:p w:rsidR="00A71C5F" w:rsidRPr="00E977B1" w:rsidRDefault="0078076C" w:rsidP="00A71C5F">
            <w:pPr>
              <w:pStyle w:val="ae"/>
              <w:snapToGrid w:val="0"/>
              <w:spacing w:line="240" w:lineRule="auto"/>
              <w:ind w:leftChars="0"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5C8D0B" wp14:editId="119BE01A">
                      <wp:simplePos x="0" y="0"/>
                      <wp:positionH relativeFrom="column">
                        <wp:posOffset>2145030</wp:posOffset>
                      </wp:positionH>
                      <wp:positionV relativeFrom="paragraph">
                        <wp:posOffset>2465705</wp:posOffset>
                      </wp:positionV>
                      <wp:extent cx="182880" cy="0"/>
                      <wp:effectExtent l="0" t="0" r="2667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9pt,194.15pt" to="183.3pt,1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" strokecolor="#4579b8 [3044]"/>
                  </w:pict>
                </mc:Fallback>
              </mc:AlternateContent>
            </w:r>
            <w:r w:rsidR="00A71C5F">
              <w:rPr>
                <w:rFonts w:asciiTheme="minorEastAsia" w:eastAsiaTheme="minorEastAsia" w:hAnsiTheme="minorEastAsia"/>
                <w:noProof/>
                <w:sz w:val="20"/>
              </w:rPr>
              <w:drawing>
                <wp:inline distT="0" distB="0" distL="0" distR="0" wp14:anchorId="23F0F7B9" wp14:editId="6E5C4979">
                  <wp:extent cx="3206750" cy="264604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0" cy="264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</w:tcPr>
          <w:p w:rsidR="00A71C5F" w:rsidRPr="00E977B1" w:rsidRDefault="0078076C" w:rsidP="00E977B1">
            <w:pPr>
              <w:pStyle w:val="ae"/>
              <w:snapToGrid w:val="0"/>
              <w:spacing w:line="240" w:lineRule="auto"/>
              <w:ind w:leftChars="0"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7B9BEB" wp14:editId="5219750A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2358390</wp:posOffset>
                      </wp:positionV>
                      <wp:extent cx="570230" cy="0"/>
                      <wp:effectExtent l="0" t="0" r="2032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02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3pt,185.7pt" to="193.2pt,1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" strokecolor="#4579b8 [3044]"/>
                  </w:pict>
                </mc:Fallback>
              </mc:AlternateContent>
            </w:r>
            <w:r w:rsidR="00246CB4">
              <w:rPr>
                <w:rFonts w:asciiTheme="minorEastAsia" w:eastAsiaTheme="minorEastAsia" w:hAnsiTheme="minorEastAsia"/>
                <w:noProof/>
                <w:sz w:val="20"/>
              </w:rPr>
              <w:drawing>
                <wp:inline distT="0" distB="0" distL="0" distR="0" wp14:anchorId="35ABE556" wp14:editId="1E89F2E1">
                  <wp:extent cx="3054350" cy="252984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350" cy="252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vAlign w:val="center"/>
          </w:tcPr>
          <w:p w:rsidR="00A71C5F" w:rsidRDefault="00246CB4" w:rsidP="007E4A4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平成30年8月</w:t>
            </w:r>
            <w:r w:rsidR="007E4A49">
              <w:rPr>
                <w:rFonts w:asciiTheme="minorEastAsia" w:hAnsiTheme="minorEastAsia" w:hint="eastAsia"/>
                <w:sz w:val="20"/>
                <w:szCs w:val="20"/>
              </w:rPr>
              <w:t>訂正</w:t>
            </w:r>
          </w:p>
        </w:tc>
      </w:tr>
    </w:tbl>
    <w:p w:rsidR="00F74F24" w:rsidRDefault="00F74F24" w:rsidP="00132304">
      <w:pPr>
        <w:ind w:right="840"/>
        <w:rPr>
          <w:szCs w:val="21"/>
        </w:rPr>
      </w:pPr>
    </w:p>
    <w:p w:rsidR="00F74F24" w:rsidRDefault="00F74F24" w:rsidP="00F74F24">
      <w:r>
        <w:br w:type="page"/>
      </w:r>
      <w:bookmarkStart w:id="0" w:name="_GoBack"/>
      <w:bookmarkEnd w:id="0"/>
    </w:p>
    <w:tbl>
      <w:tblPr>
        <w:tblStyle w:val="a3"/>
        <w:tblpPr w:leftFromText="142" w:rightFromText="142" w:horzAnchor="margin" w:tblpX="108" w:tblpY="124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6237"/>
        <w:gridCol w:w="6379"/>
        <w:gridCol w:w="1167"/>
      </w:tblGrid>
      <w:tr w:rsidR="00F74F24" w:rsidTr="00B03613">
        <w:trPr>
          <w:trHeight w:val="561"/>
        </w:trPr>
        <w:tc>
          <w:tcPr>
            <w:tcW w:w="534" w:type="dxa"/>
            <w:vAlign w:val="center"/>
          </w:tcPr>
          <w:p w:rsidR="00F74F24" w:rsidRPr="00132304" w:rsidRDefault="00F74F24" w:rsidP="00442CDB">
            <w:pPr>
              <w:pStyle w:val="a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頁</w:t>
            </w:r>
          </w:p>
        </w:tc>
        <w:tc>
          <w:tcPr>
            <w:tcW w:w="992" w:type="dxa"/>
            <w:vAlign w:val="center"/>
          </w:tcPr>
          <w:p w:rsidR="00F74F24" w:rsidRPr="00132304" w:rsidRDefault="00F74F24" w:rsidP="00442CDB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F74F24" w:rsidRPr="00132304" w:rsidRDefault="00F74F24" w:rsidP="00442CDB">
            <w:pPr>
              <w:pStyle w:val="a6"/>
              <w:rPr>
                <w:sz w:val="20"/>
                <w:szCs w:val="20"/>
              </w:rPr>
            </w:pPr>
            <w:r w:rsidRPr="00132304">
              <w:rPr>
                <w:rFonts w:hint="eastAsia"/>
                <w:sz w:val="20"/>
                <w:szCs w:val="20"/>
              </w:rPr>
              <w:t>誤</w:t>
            </w:r>
          </w:p>
        </w:tc>
        <w:tc>
          <w:tcPr>
            <w:tcW w:w="6379" w:type="dxa"/>
            <w:vAlign w:val="center"/>
          </w:tcPr>
          <w:p w:rsidR="00F74F24" w:rsidRPr="00132304" w:rsidRDefault="00F74F24" w:rsidP="00442CDB">
            <w:pPr>
              <w:pStyle w:val="a6"/>
              <w:rPr>
                <w:sz w:val="20"/>
                <w:szCs w:val="20"/>
              </w:rPr>
            </w:pPr>
            <w:r w:rsidRPr="00132304">
              <w:rPr>
                <w:rFonts w:hint="eastAsia"/>
                <w:sz w:val="20"/>
                <w:szCs w:val="20"/>
              </w:rPr>
              <w:t>正</w:t>
            </w:r>
          </w:p>
        </w:tc>
        <w:tc>
          <w:tcPr>
            <w:tcW w:w="1167" w:type="dxa"/>
            <w:vAlign w:val="center"/>
          </w:tcPr>
          <w:p w:rsidR="00F74F24" w:rsidRPr="00132304" w:rsidRDefault="00F74F24" w:rsidP="00442CDB">
            <w:pPr>
              <w:pStyle w:val="a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F74F24" w:rsidRPr="000F129F" w:rsidTr="00B03613">
        <w:trPr>
          <w:trHeight w:val="2542"/>
        </w:trPr>
        <w:tc>
          <w:tcPr>
            <w:tcW w:w="534" w:type="dxa"/>
            <w:vAlign w:val="center"/>
          </w:tcPr>
          <w:p w:rsidR="00F74F24" w:rsidRPr="00936D66" w:rsidRDefault="00F74F24" w:rsidP="00442CD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82</w:t>
            </w:r>
          </w:p>
        </w:tc>
        <w:tc>
          <w:tcPr>
            <w:tcW w:w="992" w:type="dxa"/>
            <w:vAlign w:val="center"/>
          </w:tcPr>
          <w:p w:rsidR="00F74F24" w:rsidRPr="00936D66" w:rsidRDefault="00F74F24" w:rsidP="00442CD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中段左側表</w:t>
            </w:r>
          </w:p>
        </w:tc>
        <w:tc>
          <w:tcPr>
            <w:tcW w:w="6237" w:type="dxa"/>
            <w:vAlign w:val="center"/>
          </w:tcPr>
          <w:tbl>
            <w:tblPr>
              <w:tblStyle w:val="21"/>
              <w:tblW w:w="5951" w:type="dxa"/>
              <w:tblLayout w:type="fixed"/>
              <w:tblLook w:val="04A0" w:firstRow="1" w:lastRow="0" w:firstColumn="1" w:lastColumn="0" w:noHBand="0" w:noVBand="1"/>
            </w:tblPr>
            <w:tblGrid>
              <w:gridCol w:w="1217"/>
              <w:gridCol w:w="2435"/>
              <w:gridCol w:w="2299"/>
            </w:tblGrid>
            <w:tr w:rsidR="00F74F24" w:rsidRPr="005E210B" w:rsidTr="00B03613">
              <w:trPr>
                <w:trHeight w:val="332"/>
              </w:trPr>
              <w:tc>
                <w:tcPr>
                  <w:tcW w:w="1217" w:type="dxa"/>
                  <w:vMerge w:val="restart"/>
                  <w:shd w:val="clear" w:color="auto" w:fill="DBE5F1" w:themeFill="accent1" w:themeFillTint="33"/>
                </w:tcPr>
                <w:p w:rsidR="00F74F24" w:rsidRPr="005E210B" w:rsidRDefault="00F74F24" w:rsidP="003E6E6D">
                  <w:pPr>
                    <w:framePr w:hSpace="142" w:wrap="around" w:hAnchor="margin" w:x="108" w:y="1245"/>
                    <w:rPr>
                      <w:rFonts w:ascii="ＭＳ ゴシック" w:eastAsia="ＭＳ ゴシック" w:hAnsi="ＭＳ ゴシック"/>
                      <w:b/>
                      <w:color w:val="0070C0"/>
                      <w:sz w:val="20"/>
                      <w:szCs w:val="20"/>
                    </w:rPr>
                  </w:pPr>
                  <w:r w:rsidRPr="005E210B">
                    <w:rPr>
                      <w:rFonts w:ascii="ＭＳ ゴシック" w:eastAsia="ＭＳ ゴシック" w:hAnsi="ＭＳ ゴシック" w:hint="eastAsia"/>
                      <w:b/>
                      <w:color w:val="0070C0"/>
                      <w:sz w:val="20"/>
                      <w:szCs w:val="20"/>
                    </w:rPr>
                    <w:t>施策</w:t>
                  </w:r>
                </w:p>
              </w:tc>
              <w:tc>
                <w:tcPr>
                  <w:tcW w:w="4734" w:type="dxa"/>
                  <w:gridSpan w:val="2"/>
                  <w:shd w:val="clear" w:color="auto" w:fill="DBE5F1" w:themeFill="accent1" w:themeFillTint="33"/>
                </w:tcPr>
                <w:p w:rsidR="00F74F24" w:rsidRPr="005E210B" w:rsidRDefault="00F74F24" w:rsidP="003E6E6D">
                  <w:pPr>
                    <w:framePr w:hSpace="142" w:wrap="around" w:hAnchor="margin" w:x="108" w:y="1245"/>
                    <w:rPr>
                      <w:rFonts w:ascii="HG丸ｺﾞｼｯｸM-PRO" w:eastAsia="HG丸ｺﾞｼｯｸM-PRO" w:hAnsi="HG丸ｺﾞｼｯｸM-PRO"/>
                      <w:noProof/>
                      <w:sz w:val="20"/>
                      <w:szCs w:val="20"/>
                    </w:rPr>
                  </w:pPr>
                  <w:r w:rsidRPr="005E210B">
                    <w:rPr>
                      <w:rFonts w:asciiTheme="majorEastAsia" w:eastAsiaTheme="majorEastAsia" w:hAnsiTheme="majorEastAsia" w:hint="eastAsia"/>
                      <w:b/>
                      <w:color w:val="0070C0"/>
                      <w:sz w:val="20"/>
                      <w:szCs w:val="24"/>
                    </w:rPr>
                    <w:t>進捗管理を行う取組状況と指標</w:t>
                  </w:r>
                </w:p>
              </w:tc>
            </w:tr>
            <w:tr w:rsidR="00F74F24" w:rsidRPr="005E210B" w:rsidTr="00B03613">
              <w:trPr>
                <w:trHeight w:val="332"/>
              </w:trPr>
              <w:tc>
                <w:tcPr>
                  <w:tcW w:w="1217" w:type="dxa"/>
                  <w:vMerge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:rsidR="00F74F24" w:rsidRPr="005E210B" w:rsidRDefault="00F74F24" w:rsidP="003E6E6D">
                  <w:pPr>
                    <w:framePr w:hSpace="142" w:wrap="around" w:hAnchor="margin" w:x="108" w:y="1245"/>
                    <w:rPr>
                      <w:rFonts w:ascii="ＭＳ ゴシック" w:eastAsia="ＭＳ ゴシック" w:hAnsi="ＭＳ ゴシック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435" w:type="dxa"/>
                  <w:shd w:val="clear" w:color="auto" w:fill="DBE5F1" w:themeFill="accent1" w:themeFillTint="33"/>
                </w:tcPr>
                <w:p w:rsidR="00F74F24" w:rsidRPr="005E210B" w:rsidRDefault="00F74F24" w:rsidP="003E6E6D">
                  <w:pPr>
                    <w:framePr w:hSpace="142" w:wrap="around" w:hAnchor="margin" w:x="108" w:y="1245"/>
                    <w:rPr>
                      <w:rFonts w:asciiTheme="majorEastAsia" w:eastAsiaTheme="majorEastAsia" w:hAnsiTheme="majorEastAsia"/>
                      <w:b/>
                      <w:noProof/>
                      <w:sz w:val="20"/>
                      <w:szCs w:val="20"/>
                    </w:rPr>
                  </w:pPr>
                  <w:r w:rsidRPr="005E210B">
                    <w:rPr>
                      <w:rFonts w:asciiTheme="majorEastAsia" w:eastAsiaTheme="majorEastAsia" w:hAnsiTheme="majorEastAsia" w:hint="eastAsia"/>
                      <w:b/>
                      <w:noProof/>
                      <w:color w:val="0070C0"/>
                      <w:sz w:val="20"/>
                      <w:szCs w:val="20"/>
                    </w:rPr>
                    <w:t>取組状況</w:t>
                  </w:r>
                </w:p>
              </w:tc>
              <w:tc>
                <w:tcPr>
                  <w:tcW w:w="2299" w:type="dxa"/>
                  <w:shd w:val="clear" w:color="auto" w:fill="DBE5F1" w:themeFill="accent1" w:themeFillTint="33"/>
                </w:tcPr>
                <w:p w:rsidR="00F74F24" w:rsidRPr="005E210B" w:rsidRDefault="00F74F24" w:rsidP="003E6E6D">
                  <w:pPr>
                    <w:framePr w:hSpace="142" w:wrap="around" w:hAnchor="margin" w:x="108" w:y="1245"/>
                    <w:rPr>
                      <w:rFonts w:asciiTheme="majorEastAsia" w:eastAsiaTheme="majorEastAsia" w:hAnsiTheme="majorEastAsia"/>
                      <w:b/>
                      <w:noProof/>
                      <w:sz w:val="20"/>
                      <w:szCs w:val="20"/>
                    </w:rPr>
                  </w:pPr>
                  <w:r w:rsidRPr="005E210B">
                    <w:rPr>
                      <w:rFonts w:asciiTheme="majorEastAsia" w:eastAsiaTheme="majorEastAsia" w:hAnsiTheme="majorEastAsia" w:hint="eastAsia"/>
                      <w:b/>
                      <w:noProof/>
                      <w:color w:val="0070C0"/>
                      <w:sz w:val="20"/>
                      <w:szCs w:val="20"/>
                    </w:rPr>
                    <w:t>指標</w:t>
                  </w:r>
                </w:p>
              </w:tc>
            </w:tr>
            <w:tr w:rsidR="00F74F24" w:rsidRPr="005E210B" w:rsidTr="00B03613">
              <w:trPr>
                <w:trHeight w:val="539"/>
              </w:trPr>
              <w:tc>
                <w:tcPr>
                  <w:tcW w:w="1217" w:type="dxa"/>
                  <w:vMerge w:val="restart"/>
                  <w:tcBorders>
                    <w:bottom w:val="single" w:sz="4" w:space="0" w:color="auto"/>
                  </w:tcBorders>
                </w:tcPr>
                <w:p w:rsidR="00F74F24" w:rsidRPr="005E210B" w:rsidRDefault="00F74F24" w:rsidP="003E6E6D">
                  <w:pPr>
                    <w:framePr w:hSpace="142" w:wrap="around" w:hAnchor="margin" w:x="108" w:y="1245"/>
                    <w:spacing w:line="280" w:lineRule="exac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 w:rsidRPr="005E210B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３－１</w:t>
                  </w:r>
                </w:p>
                <w:p w:rsidR="00F74F24" w:rsidRPr="005E210B" w:rsidRDefault="00F74F24" w:rsidP="003E6E6D">
                  <w:pPr>
                    <w:framePr w:hSpace="142" w:wrap="around" w:hAnchor="margin" w:x="108" w:y="1245"/>
                    <w:spacing w:line="280" w:lineRule="exac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  <w:u w:val="single"/>
                    </w:rPr>
                  </w:pPr>
                  <w:r w:rsidRPr="00F74F24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  <w:u w:val="single"/>
                    </w:rPr>
                    <w:t>かかりつけ薬剤師・薬局の普及</w:t>
                  </w:r>
                </w:p>
              </w:tc>
              <w:tc>
                <w:tcPr>
                  <w:tcW w:w="2435" w:type="dxa"/>
                </w:tcPr>
                <w:p w:rsidR="00F74F24" w:rsidRPr="005E210B" w:rsidRDefault="00F74F24" w:rsidP="003E6E6D">
                  <w:pPr>
                    <w:framePr w:hSpace="142" w:wrap="around" w:hAnchor="margin" w:x="108" w:y="1245"/>
                    <w:spacing w:line="280" w:lineRule="exac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 w:rsidRPr="005E210B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かかりつけ薬剤師・薬局の普及に関する取組状況</w:t>
                  </w:r>
                </w:p>
              </w:tc>
              <w:tc>
                <w:tcPr>
                  <w:tcW w:w="2299" w:type="dxa"/>
                  <w:vMerge w:val="restart"/>
                </w:tcPr>
                <w:p w:rsidR="00F74F24" w:rsidRPr="005E210B" w:rsidRDefault="00F74F24" w:rsidP="003E6E6D">
                  <w:pPr>
                    <w:framePr w:hSpace="142" w:wrap="around" w:hAnchor="margin" w:x="108" w:y="1245"/>
                    <w:spacing w:line="240" w:lineRule="exact"/>
                    <w:ind w:left="200" w:hangingChars="100" w:hanging="200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 w:rsidRPr="005E210B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・かかりつけ薬剤師指導料及びかかりつけ薬剤師包括管理料届出数</w:t>
                  </w:r>
                </w:p>
                <w:p w:rsidR="00F74F24" w:rsidRPr="005E210B" w:rsidRDefault="00F74F24" w:rsidP="003E6E6D">
                  <w:pPr>
                    <w:framePr w:hSpace="142" w:wrap="around" w:hAnchor="margin" w:x="108" w:y="1245"/>
                    <w:spacing w:line="240" w:lineRule="exact"/>
                    <w:ind w:left="200" w:hangingChars="100" w:hanging="200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 w:rsidRPr="005E210B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・在宅患者調剤加算の届出数</w:t>
                  </w:r>
                </w:p>
              </w:tc>
            </w:tr>
            <w:tr w:rsidR="00F74F24" w:rsidRPr="005E210B" w:rsidTr="00B03613">
              <w:trPr>
                <w:trHeight w:val="539"/>
              </w:trPr>
              <w:tc>
                <w:tcPr>
                  <w:tcW w:w="1217" w:type="dxa"/>
                  <w:vMerge/>
                  <w:tcBorders>
                    <w:bottom w:val="single" w:sz="4" w:space="0" w:color="auto"/>
                  </w:tcBorders>
                </w:tcPr>
                <w:p w:rsidR="00F74F24" w:rsidRPr="005E210B" w:rsidRDefault="00F74F24" w:rsidP="003E6E6D">
                  <w:pPr>
                    <w:framePr w:hSpace="142" w:wrap="around" w:hAnchor="margin" w:x="108" w:y="1245"/>
                    <w:spacing w:line="280" w:lineRule="exac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</w:p>
              </w:tc>
              <w:tc>
                <w:tcPr>
                  <w:tcW w:w="2435" w:type="dxa"/>
                </w:tcPr>
                <w:p w:rsidR="00F74F24" w:rsidRPr="005E210B" w:rsidRDefault="00F74F24" w:rsidP="003E6E6D">
                  <w:pPr>
                    <w:framePr w:hSpace="142" w:wrap="around" w:hAnchor="margin" w:x="108" w:y="1245"/>
                    <w:spacing w:line="280" w:lineRule="exac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 w:rsidRPr="005E210B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医療機関と薬局の連携強化に関する取組状況</w:t>
                  </w:r>
                </w:p>
              </w:tc>
              <w:tc>
                <w:tcPr>
                  <w:tcW w:w="2299" w:type="dxa"/>
                  <w:vMerge/>
                </w:tcPr>
                <w:p w:rsidR="00F74F24" w:rsidRPr="005E210B" w:rsidRDefault="00F74F24" w:rsidP="003E6E6D">
                  <w:pPr>
                    <w:framePr w:hSpace="142" w:wrap="around" w:hAnchor="margin" w:x="108" w:y="1245"/>
                    <w:spacing w:line="240" w:lineRule="exact"/>
                    <w:ind w:left="200" w:hangingChars="100" w:hanging="200"/>
                    <w:rPr>
                      <w:rFonts w:ascii="HG丸ｺﾞｼｯｸM-PRO" w:eastAsia="HG丸ｺﾞｼｯｸM-PRO" w:hAnsi="HG丸ｺﾞｼｯｸM-PRO"/>
                      <w:noProof/>
                      <w:sz w:val="20"/>
                      <w:szCs w:val="21"/>
                    </w:rPr>
                  </w:pPr>
                </w:p>
              </w:tc>
            </w:tr>
          </w:tbl>
          <w:p w:rsidR="00F74F24" w:rsidRPr="00F74F24" w:rsidRDefault="00F74F24" w:rsidP="00442CDB">
            <w:pPr>
              <w:pStyle w:val="ae"/>
              <w:snapToGrid w:val="0"/>
              <w:spacing w:line="240" w:lineRule="auto"/>
              <w:ind w:leftChars="0"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379" w:type="dxa"/>
            <w:vAlign w:val="center"/>
          </w:tcPr>
          <w:tbl>
            <w:tblPr>
              <w:tblStyle w:val="21"/>
              <w:tblW w:w="6073" w:type="dxa"/>
              <w:tblLayout w:type="fixed"/>
              <w:tblLook w:val="04A0" w:firstRow="1" w:lastRow="0" w:firstColumn="1" w:lastColumn="0" w:noHBand="0" w:noVBand="1"/>
            </w:tblPr>
            <w:tblGrid>
              <w:gridCol w:w="1243"/>
              <w:gridCol w:w="2484"/>
              <w:gridCol w:w="2346"/>
            </w:tblGrid>
            <w:tr w:rsidR="00F74F24" w:rsidRPr="005E210B" w:rsidTr="00B03613">
              <w:trPr>
                <w:trHeight w:val="326"/>
              </w:trPr>
              <w:tc>
                <w:tcPr>
                  <w:tcW w:w="1243" w:type="dxa"/>
                  <w:vMerge w:val="restart"/>
                  <w:shd w:val="clear" w:color="auto" w:fill="DBE5F1" w:themeFill="accent1" w:themeFillTint="33"/>
                </w:tcPr>
                <w:p w:rsidR="00F74F24" w:rsidRPr="005E210B" w:rsidRDefault="00F74F24" w:rsidP="003E6E6D">
                  <w:pPr>
                    <w:framePr w:hSpace="142" w:wrap="around" w:hAnchor="margin" w:x="108" w:y="1245"/>
                    <w:rPr>
                      <w:rFonts w:ascii="ＭＳ ゴシック" w:eastAsia="ＭＳ ゴシック" w:hAnsi="ＭＳ ゴシック"/>
                      <w:b/>
                      <w:color w:val="0070C0"/>
                      <w:sz w:val="20"/>
                      <w:szCs w:val="20"/>
                    </w:rPr>
                  </w:pPr>
                  <w:r w:rsidRPr="005E210B">
                    <w:rPr>
                      <w:rFonts w:ascii="ＭＳ ゴシック" w:eastAsia="ＭＳ ゴシック" w:hAnsi="ＭＳ ゴシック" w:hint="eastAsia"/>
                      <w:b/>
                      <w:color w:val="0070C0"/>
                      <w:sz w:val="20"/>
                      <w:szCs w:val="20"/>
                    </w:rPr>
                    <w:t>施策</w:t>
                  </w:r>
                </w:p>
              </w:tc>
              <w:tc>
                <w:tcPr>
                  <w:tcW w:w="4830" w:type="dxa"/>
                  <w:gridSpan w:val="2"/>
                  <w:shd w:val="clear" w:color="auto" w:fill="DBE5F1" w:themeFill="accent1" w:themeFillTint="33"/>
                </w:tcPr>
                <w:p w:rsidR="00F74F24" w:rsidRPr="005E210B" w:rsidRDefault="00F74F24" w:rsidP="003E6E6D">
                  <w:pPr>
                    <w:framePr w:hSpace="142" w:wrap="around" w:hAnchor="margin" w:x="108" w:y="1245"/>
                    <w:rPr>
                      <w:rFonts w:ascii="HG丸ｺﾞｼｯｸM-PRO" w:eastAsia="HG丸ｺﾞｼｯｸM-PRO" w:hAnsi="HG丸ｺﾞｼｯｸM-PRO"/>
                      <w:noProof/>
                      <w:sz w:val="20"/>
                      <w:szCs w:val="20"/>
                    </w:rPr>
                  </w:pPr>
                  <w:r w:rsidRPr="005E210B">
                    <w:rPr>
                      <w:rFonts w:asciiTheme="majorEastAsia" w:eastAsiaTheme="majorEastAsia" w:hAnsiTheme="majorEastAsia" w:hint="eastAsia"/>
                      <w:b/>
                      <w:color w:val="0070C0"/>
                      <w:sz w:val="20"/>
                      <w:szCs w:val="24"/>
                    </w:rPr>
                    <w:t>進捗管理を行う取組状況と指標</w:t>
                  </w:r>
                </w:p>
              </w:tc>
            </w:tr>
            <w:tr w:rsidR="00F74F24" w:rsidRPr="005E210B" w:rsidTr="00B03613">
              <w:trPr>
                <w:trHeight w:val="326"/>
              </w:trPr>
              <w:tc>
                <w:tcPr>
                  <w:tcW w:w="1243" w:type="dxa"/>
                  <w:vMerge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:rsidR="00F74F24" w:rsidRPr="005E210B" w:rsidRDefault="00F74F24" w:rsidP="003E6E6D">
                  <w:pPr>
                    <w:framePr w:hSpace="142" w:wrap="around" w:hAnchor="margin" w:x="108" w:y="1245"/>
                    <w:rPr>
                      <w:rFonts w:ascii="ＭＳ ゴシック" w:eastAsia="ＭＳ ゴシック" w:hAnsi="ＭＳ ゴシック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484" w:type="dxa"/>
                  <w:shd w:val="clear" w:color="auto" w:fill="DBE5F1" w:themeFill="accent1" w:themeFillTint="33"/>
                </w:tcPr>
                <w:p w:rsidR="00F74F24" w:rsidRPr="005E210B" w:rsidRDefault="00F74F24" w:rsidP="003E6E6D">
                  <w:pPr>
                    <w:framePr w:hSpace="142" w:wrap="around" w:hAnchor="margin" w:x="108" w:y="1245"/>
                    <w:rPr>
                      <w:rFonts w:asciiTheme="majorEastAsia" w:eastAsiaTheme="majorEastAsia" w:hAnsiTheme="majorEastAsia"/>
                      <w:b/>
                      <w:noProof/>
                      <w:sz w:val="20"/>
                      <w:szCs w:val="20"/>
                    </w:rPr>
                  </w:pPr>
                  <w:r w:rsidRPr="005E210B">
                    <w:rPr>
                      <w:rFonts w:asciiTheme="majorEastAsia" w:eastAsiaTheme="majorEastAsia" w:hAnsiTheme="majorEastAsia" w:hint="eastAsia"/>
                      <w:b/>
                      <w:noProof/>
                      <w:color w:val="0070C0"/>
                      <w:sz w:val="20"/>
                      <w:szCs w:val="20"/>
                    </w:rPr>
                    <w:t>取組状況</w:t>
                  </w:r>
                </w:p>
              </w:tc>
              <w:tc>
                <w:tcPr>
                  <w:tcW w:w="2346" w:type="dxa"/>
                  <w:shd w:val="clear" w:color="auto" w:fill="DBE5F1" w:themeFill="accent1" w:themeFillTint="33"/>
                </w:tcPr>
                <w:p w:rsidR="00F74F24" w:rsidRPr="005E210B" w:rsidRDefault="00F74F24" w:rsidP="003E6E6D">
                  <w:pPr>
                    <w:framePr w:hSpace="142" w:wrap="around" w:hAnchor="margin" w:x="108" w:y="1245"/>
                    <w:rPr>
                      <w:rFonts w:asciiTheme="majorEastAsia" w:eastAsiaTheme="majorEastAsia" w:hAnsiTheme="majorEastAsia"/>
                      <w:b/>
                      <w:noProof/>
                      <w:sz w:val="20"/>
                      <w:szCs w:val="20"/>
                    </w:rPr>
                  </w:pPr>
                  <w:r w:rsidRPr="005E210B">
                    <w:rPr>
                      <w:rFonts w:asciiTheme="majorEastAsia" w:eastAsiaTheme="majorEastAsia" w:hAnsiTheme="majorEastAsia" w:hint="eastAsia"/>
                      <w:b/>
                      <w:noProof/>
                      <w:color w:val="0070C0"/>
                      <w:sz w:val="20"/>
                      <w:szCs w:val="20"/>
                    </w:rPr>
                    <w:t>指標</w:t>
                  </w:r>
                </w:p>
              </w:tc>
            </w:tr>
            <w:tr w:rsidR="00F74F24" w:rsidRPr="005E210B" w:rsidTr="00B03613">
              <w:trPr>
                <w:trHeight w:val="527"/>
              </w:trPr>
              <w:tc>
                <w:tcPr>
                  <w:tcW w:w="1243" w:type="dxa"/>
                  <w:vMerge w:val="restart"/>
                  <w:tcBorders>
                    <w:bottom w:val="single" w:sz="4" w:space="0" w:color="auto"/>
                  </w:tcBorders>
                </w:tcPr>
                <w:p w:rsidR="00F74F24" w:rsidRPr="005E210B" w:rsidRDefault="00F74F24" w:rsidP="003E6E6D">
                  <w:pPr>
                    <w:framePr w:hSpace="142" w:wrap="around" w:hAnchor="margin" w:x="108" w:y="1245"/>
                    <w:spacing w:line="280" w:lineRule="exac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 w:rsidRPr="005E210B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３－１</w:t>
                  </w:r>
                </w:p>
                <w:p w:rsidR="00F74F24" w:rsidRPr="005E210B" w:rsidRDefault="00F74F24" w:rsidP="003E6E6D">
                  <w:pPr>
                    <w:framePr w:hSpace="142" w:wrap="around" w:hAnchor="margin" w:x="108" w:y="1245"/>
                    <w:spacing w:line="280" w:lineRule="exac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  <w:u w:val="single"/>
                    </w:rPr>
                  </w:pPr>
                  <w:r w:rsidRPr="005E210B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  <w:u w:val="single"/>
                    </w:rPr>
                    <w:t>薬局や医療機関における服薬管理の推進</w:t>
                  </w:r>
                </w:p>
              </w:tc>
              <w:tc>
                <w:tcPr>
                  <w:tcW w:w="2484" w:type="dxa"/>
                </w:tcPr>
                <w:p w:rsidR="00F74F24" w:rsidRPr="005E210B" w:rsidRDefault="00F74F24" w:rsidP="003E6E6D">
                  <w:pPr>
                    <w:framePr w:hSpace="142" w:wrap="around" w:hAnchor="margin" w:x="108" w:y="1245"/>
                    <w:spacing w:line="280" w:lineRule="exac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 w:rsidRPr="005E210B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かかりつけ薬剤師・薬局の普及に関する取組状況</w:t>
                  </w:r>
                </w:p>
              </w:tc>
              <w:tc>
                <w:tcPr>
                  <w:tcW w:w="2346" w:type="dxa"/>
                  <w:vMerge w:val="restart"/>
                </w:tcPr>
                <w:p w:rsidR="00F74F24" w:rsidRPr="005E210B" w:rsidRDefault="00F74F24" w:rsidP="003E6E6D">
                  <w:pPr>
                    <w:framePr w:hSpace="142" w:wrap="around" w:hAnchor="margin" w:x="108" w:y="1245"/>
                    <w:spacing w:line="240" w:lineRule="exact"/>
                    <w:ind w:left="200" w:hangingChars="100" w:hanging="200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 w:rsidRPr="005E210B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・かかりつけ薬剤師指導料及びかかりつけ薬剤師包括管理料届出数</w:t>
                  </w:r>
                </w:p>
                <w:p w:rsidR="00F74F24" w:rsidRPr="005E210B" w:rsidRDefault="00F74F24" w:rsidP="003E6E6D">
                  <w:pPr>
                    <w:framePr w:hSpace="142" w:wrap="around" w:hAnchor="margin" w:x="108" w:y="1245"/>
                    <w:spacing w:line="240" w:lineRule="exact"/>
                    <w:ind w:left="200" w:hangingChars="100" w:hanging="200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 w:rsidRPr="005E210B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・在宅患者調剤加算の届出数</w:t>
                  </w:r>
                </w:p>
              </w:tc>
            </w:tr>
            <w:tr w:rsidR="00F74F24" w:rsidRPr="005E210B" w:rsidTr="00B03613">
              <w:trPr>
                <w:trHeight w:val="527"/>
              </w:trPr>
              <w:tc>
                <w:tcPr>
                  <w:tcW w:w="1243" w:type="dxa"/>
                  <w:vMerge/>
                  <w:tcBorders>
                    <w:bottom w:val="single" w:sz="4" w:space="0" w:color="auto"/>
                  </w:tcBorders>
                </w:tcPr>
                <w:p w:rsidR="00F74F24" w:rsidRPr="005E210B" w:rsidRDefault="00F74F24" w:rsidP="003E6E6D">
                  <w:pPr>
                    <w:framePr w:hSpace="142" w:wrap="around" w:hAnchor="margin" w:x="108" w:y="1245"/>
                    <w:spacing w:line="280" w:lineRule="exac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</w:p>
              </w:tc>
              <w:tc>
                <w:tcPr>
                  <w:tcW w:w="2484" w:type="dxa"/>
                </w:tcPr>
                <w:p w:rsidR="00F74F24" w:rsidRPr="005E210B" w:rsidRDefault="00F74F24" w:rsidP="003E6E6D">
                  <w:pPr>
                    <w:framePr w:hSpace="142" w:wrap="around" w:hAnchor="margin" w:x="108" w:y="1245"/>
                    <w:spacing w:line="280" w:lineRule="exac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 w:rsidRPr="005E210B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医療機関と薬局の連携強化に関する取組状況</w:t>
                  </w:r>
                </w:p>
              </w:tc>
              <w:tc>
                <w:tcPr>
                  <w:tcW w:w="2346" w:type="dxa"/>
                  <w:vMerge/>
                </w:tcPr>
                <w:p w:rsidR="00F74F24" w:rsidRPr="005E210B" w:rsidRDefault="00F74F24" w:rsidP="003E6E6D">
                  <w:pPr>
                    <w:framePr w:hSpace="142" w:wrap="around" w:hAnchor="margin" w:x="108" w:y="1245"/>
                    <w:spacing w:line="240" w:lineRule="exact"/>
                    <w:ind w:left="200" w:hangingChars="100" w:hanging="200"/>
                    <w:rPr>
                      <w:rFonts w:ascii="HG丸ｺﾞｼｯｸM-PRO" w:eastAsia="HG丸ｺﾞｼｯｸM-PRO" w:hAnsi="HG丸ｺﾞｼｯｸM-PRO"/>
                      <w:noProof/>
                      <w:sz w:val="20"/>
                      <w:szCs w:val="21"/>
                    </w:rPr>
                  </w:pPr>
                </w:p>
              </w:tc>
            </w:tr>
          </w:tbl>
          <w:p w:rsidR="00F74F24" w:rsidRPr="00F74F24" w:rsidRDefault="00F74F24" w:rsidP="00442CDB">
            <w:pPr>
              <w:pStyle w:val="ae"/>
              <w:snapToGrid w:val="0"/>
              <w:spacing w:line="240" w:lineRule="auto"/>
              <w:ind w:leftChars="0"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67" w:type="dxa"/>
            <w:vAlign w:val="center"/>
          </w:tcPr>
          <w:p w:rsidR="00F74F24" w:rsidRPr="00936D66" w:rsidRDefault="00F74F24" w:rsidP="007E4A4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平成30年8月訂正</w:t>
            </w:r>
          </w:p>
        </w:tc>
      </w:tr>
    </w:tbl>
    <w:p w:rsidR="00360132" w:rsidRPr="000F129F" w:rsidRDefault="00360132" w:rsidP="007E4A49">
      <w:pPr>
        <w:ind w:right="840"/>
        <w:rPr>
          <w:szCs w:val="21"/>
        </w:rPr>
      </w:pPr>
    </w:p>
    <w:sectPr w:rsidR="00360132" w:rsidRPr="000F129F" w:rsidSect="00A75DE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D0" w:rsidRDefault="00482FD0" w:rsidP="009E4FC5">
      <w:r>
        <w:separator/>
      </w:r>
    </w:p>
  </w:endnote>
  <w:endnote w:type="continuationSeparator" w:id="0">
    <w:p w:rsidR="00482FD0" w:rsidRDefault="00482FD0" w:rsidP="009E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D0" w:rsidRDefault="00482FD0" w:rsidP="009E4FC5">
      <w:r>
        <w:separator/>
      </w:r>
    </w:p>
  </w:footnote>
  <w:footnote w:type="continuationSeparator" w:id="0">
    <w:p w:rsidR="00482FD0" w:rsidRDefault="00482FD0" w:rsidP="009E4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DB"/>
    <w:rsid w:val="00020C4A"/>
    <w:rsid w:val="00020E15"/>
    <w:rsid w:val="00074E8E"/>
    <w:rsid w:val="000A5590"/>
    <w:rsid w:val="000A7E82"/>
    <w:rsid w:val="000F129F"/>
    <w:rsid w:val="00132304"/>
    <w:rsid w:val="00162753"/>
    <w:rsid w:val="001B11F5"/>
    <w:rsid w:val="001B5547"/>
    <w:rsid w:val="001C5CAC"/>
    <w:rsid w:val="001F3929"/>
    <w:rsid w:val="00246CB4"/>
    <w:rsid w:val="00250D94"/>
    <w:rsid w:val="00271C1D"/>
    <w:rsid w:val="00291598"/>
    <w:rsid w:val="002B3ADF"/>
    <w:rsid w:val="00344F93"/>
    <w:rsid w:val="00360132"/>
    <w:rsid w:val="00384AF9"/>
    <w:rsid w:val="003E6E6D"/>
    <w:rsid w:val="003F017E"/>
    <w:rsid w:val="0043213E"/>
    <w:rsid w:val="00482A89"/>
    <w:rsid w:val="00482FD0"/>
    <w:rsid w:val="00483AFC"/>
    <w:rsid w:val="0054360B"/>
    <w:rsid w:val="0057052A"/>
    <w:rsid w:val="005A7CAD"/>
    <w:rsid w:val="00614219"/>
    <w:rsid w:val="006455FB"/>
    <w:rsid w:val="006A242F"/>
    <w:rsid w:val="006F3D5B"/>
    <w:rsid w:val="007126C7"/>
    <w:rsid w:val="007278FE"/>
    <w:rsid w:val="0073584C"/>
    <w:rsid w:val="007759A5"/>
    <w:rsid w:val="0078076C"/>
    <w:rsid w:val="00795B74"/>
    <w:rsid w:val="007A1DA0"/>
    <w:rsid w:val="007A51A4"/>
    <w:rsid w:val="007E4A49"/>
    <w:rsid w:val="008042E8"/>
    <w:rsid w:val="00813852"/>
    <w:rsid w:val="008459DB"/>
    <w:rsid w:val="00845FCA"/>
    <w:rsid w:val="0085178C"/>
    <w:rsid w:val="00875E21"/>
    <w:rsid w:val="00927F43"/>
    <w:rsid w:val="00936D66"/>
    <w:rsid w:val="009852DC"/>
    <w:rsid w:val="009A4671"/>
    <w:rsid w:val="009E4FC5"/>
    <w:rsid w:val="00A71C5F"/>
    <w:rsid w:val="00A75DED"/>
    <w:rsid w:val="00A86C1E"/>
    <w:rsid w:val="00AE4F2D"/>
    <w:rsid w:val="00B03613"/>
    <w:rsid w:val="00B923DA"/>
    <w:rsid w:val="00BB3487"/>
    <w:rsid w:val="00BD3F1D"/>
    <w:rsid w:val="00BF37BE"/>
    <w:rsid w:val="00C12991"/>
    <w:rsid w:val="00C65660"/>
    <w:rsid w:val="00CB4796"/>
    <w:rsid w:val="00CB4BE4"/>
    <w:rsid w:val="00D31D8E"/>
    <w:rsid w:val="00D41038"/>
    <w:rsid w:val="00DC6A28"/>
    <w:rsid w:val="00DD1108"/>
    <w:rsid w:val="00DE5198"/>
    <w:rsid w:val="00E2674B"/>
    <w:rsid w:val="00E418AF"/>
    <w:rsid w:val="00E64477"/>
    <w:rsid w:val="00E93714"/>
    <w:rsid w:val="00E977B1"/>
    <w:rsid w:val="00EE1F0B"/>
    <w:rsid w:val="00EE7A26"/>
    <w:rsid w:val="00EF7F4D"/>
    <w:rsid w:val="00F072F4"/>
    <w:rsid w:val="00F177C3"/>
    <w:rsid w:val="00F33FD5"/>
    <w:rsid w:val="00F5532A"/>
    <w:rsid w:val="00F6086C"/>
    <w:rsid w:val="00F74F24"/>
    <w:rsid w:val="00FA43C3"/>
    <w:rsid w:val="00F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3A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83AF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83AF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483AF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83AFC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483AF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83AFC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483AFC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483AF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83AFC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E4F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4FC5"/>
  </w:style>
  <w:style w:type="paragraph" w:styleId="aa">
    <w:name w:val="footer"/>
    <w:basedOn w:val="a"/>
    <w:link w:val="ab"/>
    <w:uiPriority w:val="99"/>
    <w:unhideWhenUsed/>
    <w:rsid w:val="009E4F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4FC5"/>
  </w:style>
  <w:style w:type="paragraph" w:styleId="ac">
    <w:name w:val="Balloon Text"/>
    <w:basedOn w:val="a"/>
    <w:link w:val="ad"/>
    <w:uiPriority w:val="99"/>
    <w:semiHidden/>
    <w:unhideWhenUsed/>
    <w:rsid w:val="00291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1598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本文１"/>
    <w:basedOn w:val="a"/>
    <w:rsid w:val="00A86C1E"/>
    <w:pPr>
      <w:adjustRightInd w:val="0"/>
      <w:spacing w:line="240" w:lineRule="atLeast"/>
      <w:ind w:leftChars="100" w:left="100" w:firstLineChars="100" w:firstLine="100"/>
      <w:textAlignment w:val="baseline"/>
    </w:pPr>
    <w:rPr>
      <w:rFonts w:ascii="HG丸ｺﾞｼｯｸM-PRO" w:eastAsia="HG丸ｺﾞｼｯｸM-PRO" w:hAnsi="Century" w:cs="ＭＳ 明朝"/>
      <w:color w:val="000000"/>
      <w:kern w:val="0"/>
      <w:sz w:val="24"/>
      <w:szCs w:val="20"/>
    </w:rPr>
  </w:style>
  <w:style w:type="paragraph" w:customStyle="1" w:styleId="Default">
    <w:name w:val="Default"/>
    <w:rsid w:val="00020C4A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color w:val="000000"/>
      <w:kern w:val="0"/>
      <w:sz w:val="24"/>
      <w:szCs w:val="24"/>
    </w:rPr>
  </w:style>
  <w:style w:type="table" w:customStyle="1" w:styleId="21">
    <w:name w:val="表 (格子)2"/>
    <w:basedOn w:val="a1"/>
    <w:next w:val="a3"/>
    <w:uiPriority w:val="59"/>
    <w:rsid w:val="00F74F24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3A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83AF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83AF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483AF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83AFC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483AF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83AFC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483AFC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483AF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83AFC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E4F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4FC5"/>
  </w:style>
  <w:style w:type="paragraph" w:styleId="aa">
    <w:name w:val="footer"/>
    <w:basedOn w:val="a"/>
    <w:link w:val="ab"/>
    <w:uiPriority w:val="99"/>
    <w:unhideWhenUsed/>
    <w:rsid w:val="009E4F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4FC5"/>
  </w:style>
  <w:style w:type="paragraph" w:styleId="ac">
    <w:name w:val="Balloon Text"/>
    <w:basedOn w:val="a"/>
    <w:link w:val="ad"/>
    <w:uiPriority w:val="99"/>
    <w:semiHidden/>
    <w:unhideWhenUsed/>
    <w:rsid w:val="00291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1598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本文１"/>
    <w:basedOn w:val="a"/>
    <w:rsid w:val="00A86C1E"/>
    <w:pPr>
      <w:adjustRightInd w:val="0"/>
      <w:spacing w:line="240" w:lineRule="atLeast"/>
      <w:ind w:leftChars="100" w:left="100" w:firstLineChars="100" w:firstLine="100"/>
      <w:textAlignment w:val="baseline"/>
    </w:pPr>
    <w:rPr>
      <w:rFonts w:ascii="HG丸ｺﾞｼｯｸM-PRO" w:eastAsia="HG丸ｺﾞｼｯｸM-PRO" w:hAnsi="Century" w:cs="ＭＳ 明朝"/>
      <w:color w:val="000000"/>
      <w:kern w:val="0"/>
      <w:sz w:val="24"/>
      <w:szCs w:val="20"/>
    </w:rPr>
  </w:style>
  <w:style w:type="paragraph" w:customStyle="1" w:styleId="Default">
    <w:name w:val="Default"/>
    <w:rsid w:val="00020C4A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color w:val="000000"/>
      <w:kern w:val="0"/>
      <w:sz w:val="24"/>
      <w:szCs w:val="24"/>
    </w:rPr>
  </w:style>
  <w:style w:type="table" w:customStyle="1" w:styleId="21">
    <w:name w:val="表 (格子)2"/>
    <w:basedOn w:val="a1"/>
    <w:next w:val="a3"/>
    <w:uiPriority w:val="59"/>
    <w:rsid w:val="00F74F24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6FAB0-2876-44F1-A25E-7EDFCA8E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</cp:revision>
  <cp:lastPrinted>2018-08-28T04:18:00Z</cp:lastPrinted>
  <dcterms:created xsi:type="dcterms:W3CDTF">2018-06-04T07:19:00Z</dcterms:created>
  <dcterms:modified xsi:type="dcterms:W3CDTF">2018-08-28T04:18:00Z</dcterms:modified>
</cp:coreProperties>
</file>