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830" w:rsidRPr="00570730" w:rsidRDefault="00543830" w:rsidP="00543830">
      <w:pPr>
        <w:jc w:val="center"/>
        <w:rPr>
          <w:rFonts w:ascii="ＭＳ ゴシック" w:eastAsia="ＭＳ ゴシック" w:hAnsi="ＭＳ ゴシック" w:hint="eastAsia"/>
          <w:sz w:val="40"/>
          <w:szCs w:val="40"/>
        </w:rPr>
      </w:pPr>
      <w:bookmarkStart w:id="0" w:name="_GoBack"/>
      <w:bookmarkEnd w:id="0"/>
    </w:p>
    <w:p w:rsidR="00543830" w:rsidRDefault="00543830" w:rsidP="00543830">
      <w:pPr>
        <w:jc w:val="center"/>
        <w:rPr>
          <w:rFonts w:ascii="ＭＳ ゴシック" w:eastAsia="ＭＳ ゴシック" w:hAnsi="ＭＳ ゴシック"/>
          <w:sz w:val="40"/>
          <w:szCs w:val="40"/>
        </w:rPr>
      </w:pPr>
    </w:p>
    <w:p w:rsidR="00543830" w:rsidRDefault="00543830" w:rsidP="00543830">
      <w:pPr>
        <w:jc w:val="center"/>
        <w:rPr>
          <w:rFonts w:ascii="ＭＳ ゴシック" w:eastAsia="ＭＳ ゴシック" w:hAnsi="ＭＳ ゴシック"/>
          <w:sz w:val="40"/>
          <w:szCs w:val="40"/>
        </w:rPr>
      </w:pPr>
    </w:p>
    <w:p w:rsidR="00543830" w:rsidRPr="00570730" w:rsidRDefault="00543830" w:rsidP="00543830">
      <w:pPr>
        <w:jc w:val="center"/>
        <w:rPr>
          <w:rFonts w:ascii="ＭＳ ゴシック" w:eastAsia="ＭＳ ゴシック" w:hAnsi="ＭＳ ゴシック" w:hint="eastAsia"/>
          <w:sz w:val="40"/>
          <w:szCs w:val="40"/>
        </w:rPr>
      </w:pPr>
    </w:p>
    <w:p w:rsidR="00543830" w:rsidRPr="00570730" w:rsidRDefault="00543830" w:rsidP="00543830">
      <w:pPr>
        <w:jc w:val="center"/>
        <w:rPr>
          <w:rFonts w:ascii="ＭＳ ゴシック" w:eastAsia="ＭＳ ゴシック" w:hAnsi="ＭＳ ゴシック"/>
          <w:sz w:val="40"/>
          <w:szCs w:val="40"/>
        </w:rPr>
      </w:pPr>
    </w:p>
    <w:p w:rsidR="00977EF3" w:rsidRDefault="00977EF3" w:rsidP="00977EF3">
      <w:pPr>
        <w:spacing w:line="480" w:lineRule="exact"/>
        <w:ind w:rightChars="-338" w:right="-710"/>
        <w:jc w:val="center"/>
        <w:rPr>
          <w:rFonts w:ascii="ＭＳ Ｐゴシック" w:eastAsia="ＭＳ Ｐゴシック" w:hAnsi="ＭＳ Ｐゴシック"/>
          <w:b/>
          <w:sz w:val="48"/>
          <w:szCs w:val="48"/>
        </w:rPr>
      </w:pPr>
      <w:r>
        <w:rPr>
          <w:rFonts w:ascii="ＭＳ Ｐゴシック" w:eastAsia="ＭＳ Ｐゴシック" w:hAnsi="ＭＳ Ｐゴシック" w:hint="eastAsia"/>
          <w:b/>
          <w:sz w:val="48"/>
          <w:szCs w:val="48"/>
        </w:rPr>
        <w:t>電気供給業等に係る</w:t>
      </w:r>
      <w:r w:rsidR="00654F4B" w:rsidRPr="00654F4B">
        <w:rPr>
          <w:rFonts w:ascii="ＭＳ Ｐゴシック" w:eastAsia="ＭＳ Ｐゴシック" w:hAnsi="ＭＳ Ｐゴシック" w:hint="eastAsia"/>
          <w:b/>
          <w:sz w:val="48"/>
          <w:szCs w:val="48"/>
        </w:rPr>
        <w:t>収入金額課税制度の</w:t>
      </w:r>
    </w:p>
    <w:p w:rsidR="00543830" w:rsidRPr="008B1492" w:rsidRDefault="00654F4B" w:rsidP="00977EF3">
      <w:pPr>
        <w:spacing w:line="480" w:lineRule="exact"/>
        <w:ind w:rightChars="-338" w:right="-710"/>
        <w:jc w:val="center"/>
        <w:rPr>
          <w:rFonts w:ascii="ＭＳ Ｐゴシック" w:eastAsia="ＭＳ Ｐゴシック" w:hAnsi="ＭＳ Ｐゴシック"/>
          <w:b/>
          <w:sz w:val="48"/>
          <w:szCs w:val="48"/>
        </w:rPr>
      </w:pPr>
      <w:r w:rsidRPr="00654F4B">
        <w:rPr>
          <w:rFonts w:ascii="ＭＳ Ｐゴシック" w:eastAsia="ＭＳ Ｐゴシック" w:hAnsi="ＭＳ Ｐゴシック" w:hint="eastAsia"/>
          <w:b/>
          <w:sz w:val="48"/>
          <w:szCs w:val="48"/>
        </w:rPr>
        <w:t>堅持に関する提言</w:t>
      </w:r>
    </w:p>
    <w:p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rsidR="00543830" w:rsidRPr="00570730" w:rsidRDefault="00543830" w:rsidP="005E1497">
      <w:pPr>
        <w:spacing w:line="400" w:lineRule="exact"/>
        <w:ind w:rightChars="-338" w:right="-710"/>
        <w:jc w:val="center"/>
        <w:rPr>
          <w:rFonts w:ascii="ＭＳ ゴシック" w:eastAsia="ＭＳ ゴシック" w:hAnsi="ＭＳ ゴシック"/>
          <w:sz w:val="36"/>
          <w:szCs w:val="36"/>
        </w:rPr>
      </w:pPr>
    </w:p>
    <w:p w:rsidR="00543830" w:rsidRPr="00654F4B" w:rsidRDefault="00543830" w:rsidP="005E1497">
      <w:pPr>
        <w:spacing w:line="400" w:lineRule="exact"/>
        <w:ind w:rightChars="-338" w:right="-710"/>
        <w:jc w:val="center"/>
        <w:rPr>
          <w:rFonts w:ascii="ＭＳ ゴシック" w:eastAsia="ＭＳ ゴシック" w:hAnsi="ＭＳ ゴシック"/>
          <w:b/>
          <w:sz w:val="40"/>
          <w:szCs w:val="40"/>
        </w:rPr>
      </w:pPr>
    </w:p>
    <w:p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rsidR="00543830" w:rsidRPr="00570730" w:rsidRDefault="008B1492" w:rsidP="005E1497">
      <w:pPr>
        <w:spacing w:line="600" w:lineRule="exact"/>
        <w:ind w:rightChars="-338" w:right="-710"/>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令和元</w:t>
      </w:r>
      <w:r w:rsidR="00543830" w:rsidRPr="00570730">
        <w:rPr>
          <w:rFonts w:ascii="ＭＳ ゴシック" w:eastAsia="ＭＳ ゴシック" w:hAnsi="ＭＳ ゴシック" w:hint="eastAsia"/>
          <w:b/>
          <w:sz w:val="40"/>
          <w:szCs w:val="40"/>
        </w:rPr>
        <w:t>年</w:t>
      </w:r>
      <w:r w:rsidR="0021495E">
        <w:rPr>
          <w:rFonts w:ascii="ＭＳ ゴシック" w:eastAsia="ＭＳ ゴシック" w:hAnsi="ＭＳ ゴシック" w:hint="eastAsia"/>
          <w:b/>
          <w:sz w:val="40"/>
          <w:szCs w:val="40"/>
        </w:rPr>
        <w:t>１１</w:t>
      </w:r>
      <w:r w:rsidR="00543830" w:rsidRPr="00570730">
        <w:rPr>
          <w:rFonts w:ascii="ＭＳ ゴシック" w:eastAsia="ＭＳ ゴシック" w:hAnsi="ＭＳ ゴシック" w:hint="eastAsia"/>
          <w:b/>
          <w:sz w:val="40"/>
          <w:szCs w:val="40"/>
        </w:rPr>
        <w:t>月</w:t>
      </w:r>
    </w:p>
    <w:p w:rsidR="00543830" w:rsidRPr="00570730" w:rsidRDefault="00543830" w:rsidP="00543830">
      <w:pPr>
        <w:spacing w:line="600" w:lineRule="exact"/>
        <w:jc w:val="center"/>
        <w:rPr>
          <w:rFonts w:ascii="ＭＳ ゴシック" w:eastAsia="ＭＳ ゴシック" w:hAnsi="ＭＳ ゴシック"/>
          <w:b/>
          <w:sz w:val="40"/>
          <w:szCs w:val="40"/>
        </w:rPr>
      </w:pPr>
    </w:p>
    <w:p w:rsidR="00543830" w:rsidRPr="00570730" w:rsidRDefault="00543830" w:rsidP="00543830">
      <w:pPr>
        <w:spacing w:line="600" w:lineRule="exact"/>
        <w:jc w:val="center"/>
        <w:rPr>
          <w:rFonts w:ascii="ＭＳ ゴシック" w:eastAsia="ＭＳ ゴシック" w:hAnsi="ＭＳ ゴシック"/>
          <w:b/>
          <w:sz w:val="40"/>
          <w:szCs w:val="40"/>
        </w:rPr>
      </w:pPr>
    </w:p>
    <w:p w:rsidR="00543830" w:rsidRDefault="00543830" w:rsidP="00543830">
      <w:pPr>
        <w:spacing w:line="600" w:lineRule="exact"/>
        <w:jc w:val="center"/>
        <w:rPr>
          <w:rFonts w:ascii="ＭＳ ゴシック" w:eastAsia="ＭＳ ゴシック" w:hAnsi="ＭＳ ゴシック"/>
          <w:b/>
          <w:sz w:val="40"/>
          <w:szCs w:val="40"/>
        </w:rPr>
      </w:pPr>
    </w:p>
    <w:p w:rsidR="00654F4B" w:rsidRPr="00570730" w:rsidRDefault="00654F4B" w:rsidP="00543830">
      <w:pPr>
        <w:spacing w:line="600" w:lineRule="exact"/>
        <w:jc w:val="center"/>
        <w:rPr>
          <w:rFonts w:ascii="ＭＳ ゴシック" w:eastAsia="ＭＳ ゴシック" w:hAnsi="ＭＳ ゴシック" w:hint="eastAsia"/>
          <w:b/>
          <w:sz w:val="40"/>
          <w:szCs w:val="40"/>
        </w:rPr>
      </w:pPr>
    </w:p>
    <w:p w:rsidR="00977EF3" w:rsidRDefault="00977EF3" w:rsidP="00AC7CDA">
      <w:pPr>
        <w:snapToGrid w:val="0"/>
        <w:ind w:firstLineChars="100" w:firstLine="360"/>
        <w:jc w:val="center"/>
        <w:rPr>
          <w:rFonts w:ascii="ＭＳ Ｐゴシック" w:eastAsia="ＭＳ Ｐゴシック" w:hAnsi="ＭＳ Ｐゴシック"/>
          <w:sz w:val="36"/>
        </w:rPr>
      </w:pPr>
      <w:bookmarkStart w:id="1" w:name="_Hlk23954920"/>
      <w:r>
        <w:rPr>
          <w:rFonts w:ascii="ＭＳ Ｐゴシック" w:eastAsia="ＭＳ Ｐゴシック" w:hAnsi="ＭＳ Ｐゴシック" w:hint="eastAsia"/>
          <w:sz w:val="36"/>
        </w:rPr>
        <w:t>電気供給業等に係る</w:t>
      </w:r>
      <w:r w:rsidR="00654F4B" w:rsidRPr="00654F4B">
        <w:rPr>
          <w:rFonts w:ascii="ＭＳ Ｐゴシック" w:eastAsia="ＭＳ Ｐゴシック" w:hAnsi="ＭＳ Ｐゴシック" w:hint="eastAsia"/>
          <w:sz w:val="36"/>
        </w:rPr>
        <w:t>収入金額課税制度の</w:t>
      </w:r>
    </w:p>
    <w:p w:rsidR="00790A57" w:rsidRDefault="00654F4B" w:rsidP="00AC7CDA">
      <w:pPr>
        <w:snapToGrid w:val="0"/>
        <w:ind w:firstLineChars="100" w:firstLine="360"/>
        <w:jc w:val="center"/>
        <w:rPr>
          <w:rFonts w:ascii="ＭＳ Ｐゴシック" w:eastAsia="ＭＳ Ｐゴシック" w:hAnsi="ＭＳ Ｐゴシック"/>
          <w:sz w:val="36"/>
        </w:rPr>
      </w:pPr>
      <w:r w:rsidRPr="00654F4B">
        <w:rPr>
          <w:rFonts w:ascii="ＭＳ Ｐゴシック" w:eastAsia="ＭＳ Ｐゴシック" w:hAnsi="ＭＳ Ｐゴシック" w:hint="eastAsia"/>
          <w:sz w:val="36"/>
        </w:rPr>
        <w:t>堅持に関する提言</w:t>
      </w:r>
    </w:p>
    <w:bookmarkEnd w:id="1"/>
    <w:p w:rsidR="00654F4B" w:rsidRDefault="00654F4B" w:rsidP="00790A57">
      <w:pPr>
        <w:snapToGrid w:val="0"/>
        <w:ind w:firstLineChars="100" w:firstLine="200"/>
        <w:rPr>
          <w:sz w:val="20"/>
          <w:szCs w:val="20"/>
        </w:rPr>
      </w:pPr>
    </w:p>
    <w:p w:rsidR="00AC7CDA" w:rsidRPr="00654F4B" w:rsidRDefault="00AC7CDA" w:rsidP="00790A57">
      <w:pPr>
        <w:snapToGrid w:val="0"/>
        <w:ind w:firstLineChars="100" w:firstLine="200"/>
        <w:rPr>
          <w:rFonts w:hint="eastAsia"/>
          <w:sz w:val="20"/>
          <w:szCs w:val="20"/>
        </w:rPr>
      </w:pPr>
    </w:p>
    <w:p w:rsidR="00B13232" w:rsidRPr="00B13232" w:rsidRDefault="00B13232" w:rsidP="00B13232">
      <w:pPr>
        <w:ind w:firstLineChars="100" w:firstLine="220"/>
        <w:rPr>
          <w:sz w:val="22"/>
        </w:rPr>
      </w:pPr>
      <w:r w:rsidRPr="00B13232">
        <w:rPr>
          <w:rFonts w:hint="eastAsia"/>
          <w:sz w:val="22"/>
        </w:rPr>
        <w:t>地方法人課税は、法人がその事業活動において、地方公共団体の行政サービスの提供を受けていること、地域社会の費用について、その構成員である法人も幅広くその負担を担うべきという観点から課税されているものである。</w:t>
      </w:r>
    </w:p>
    <w:p w:rsidR="00B13232" w:rsidRPr="00B13232" w:rsidRDefault="00B13232" w:rsidP="00B13232">
      <w:pPr>
        <w:ind w:firstLineChars="100" w:firstLine="220"/>
        <w:rPr>
          <w:sz w:val="22"/>
        </w:rPr>
      </w:pPr>
    </w:p>
    <w:p w:rsidR="00B13232" w:rsidRPr="00B13232" w:rsidRDefault="00B13232" w:rsidP="00B13232">
      <w:pPr>
        <w:ind w:firstLineChars="100" w:firstLine="220"/>
        <w:rPr>
          <w:sz w:val="22"/>
        </w:rPr>
      </w:pPr>
      <w:r w:rsidRPr="00B13232">
        <w:rPr>
          <w:rFonts w:hint="eastAsia"/>
          <w:sz w:val="22"/>
        </w:rPr>
        <w:t>なかでも、法人事業税は、応益課税に基づく課税であり、シャウプ勧告以来、都道府県の独立税・基幹税となっている。企業活動を行う上で重要な前提となる安全・安心な地域社会の維持・発展のため、地方公共団体が提供する行政サービスの財源として、法人事業税は引き続き重要な基幹税である。</w:t>
      </w:r>
    </w:p>
    <w:p w:rsidR="00B13232" w:rsidRPr="00B13232" w:rsidRDefault="00B13232" w:rsidP="00B13232">
      <w:pPr>
        <w:ind w:firstLineChars="100" w:firstLine="220"/>
        <w:rPr>
          <w:sz w:val="22"/>
        </w:rPr>
      </w:pPr>
    </w:p>
    <w:p w:rsidR="00B13232" w:rsidRPr="00B13232" w:rsidRDefault="00B13232" w:rsidP="00B13232">
      <w:pPr>
        <w:ind w:firstLineChars="100" w:firstLine="220"/>
        <w:rPr>
          <w:sz w:val="22"/>
        </w:rPr>
      </w:pPr>
      <w:r w:rsidRPr="00B13232">
        <w:rPr>
          <w:rFonts w:hint="eastAsia"/>
          <w:sz w:val="22"/>
        </w:rPr>
        <w:t>電気・ガス供給業については、事業の公益的性格から料金が低く抑えられており、所得課税とすると大規模施設を有し多大な行政サービスを受益しているにもかかわらず税額が少額となり応益課税に矛盾すること、認可制料金がとられ地域的独占事業であること等を理由に、</w:t>
      </w:r>
      <w:r w:rsidRPr="00B13232">
        <w:rPr>
          <w:sz w:val="22"/>
        </w:rPr>
        <w:t xml:space="preserve">1949 </w:t>
      </w:r>
      <w:r w:rsidRPr="00B13232">
        <w:rPr>
          <w:rFonts w:hint="eastAsia"/>
          <w:sz w:val="22"/>
        </w:rPr>
        <w:t>年度（昭和</w:t>
      </w:r>
      <w:r w:rsidRPr="00B13232">
        <w:rPr>
          <w:sz w:val="22"/>
        </w:rPr>
        <w:t xml:space="preserve">24 </w:t>
      </w:r>
      <w:r w:rsidRPr="00B13232">
        <w:rPr>
          <w:rFonts w:hint="eastAsia"/>
          <w:sz w:val="22"/>
        </w:rPr>
        <w:t>年度）から、収入金額を課税標準とする外形標準課税が導入されている。</w:t>
      </w:r>
    </w:p>
    <w:p w:rsidR="00B13232" w:rsidRPr="00B13232" w:rsidRDefault="00B13232" w:rsidP="00B13232">
      <w:pPr>
        <w:ind w:firstLineChars="100" w:firstLine="220"/>
        <w:rPr>
          <w:sz w:val="22"/>
        </w:rPr>
      </w:pPr>
    </w:p>
    <w:p w:rsidR="00B13232" w:rsidRPr="00B13232" w:rsidRDefault="00B13232" w:rsidP="00B13232">
      <w:pPr>
        <w:ind w:firstLineChars="100" w:firstLine="220"/>
        <w:rPr>
          <w:sz w:val="22"/>
        </w:rPr>
      </w:pPr>
      <w:r w:rsidRPr="00B13232">
        <w:rPr>
          <w:rFonts w:hint="eastAsia"/>
          <w:sz w:val="22"/>
        </w:rPr>
        <w:t>現在、国においてはエネルギーシステム改革を進め、電気・ガスの小売全面自由化に加え、</w:t>
      </w:r>
      <w:r w:rsidRPr="00B13232">
        <w:rPr>
          <w:sz w:val="22"/>
        </w:rPr>
        <w:t xml:space="preserve">2020 </w:t>
      </w:r>
      <w:r w:rsidRPr="00B13232">
        <w:rPr>
          <w:rFonts w:hint="eastAsia"/>
          <w:sz w:val="22"/>
        </w:rPr>
        <w:t>年度（令和２年度）からは、電気事業者に対して送配電事業の法的分離が義務化される。これらを踏まえ、経済団体からは、収入金額課税を採用する根拠は失われており、一般の競争下にある普通法人と同様の課税方式に変更すべきとの要望がなされている。</w:t>
      </w:r>
    </w:p>
    <w:p w:rsidR="00B13232" w:rsidRPr="00B13232" w:rsidRDefault="00B13232" w:rsidP="00B13232">
      <w:pPr>
        <w:ind w:firstLineChars="100" w:firstLine="220"/>
        <w:rPr>
          <w:sz w:val="22"/>
        </w:rPr>
      </w:pPr>
    </w:p>
    <w:p w:rsidR="00B13232" w:rsidRPr="00B13232" w:rsidRDefault="00B13232" w:rsidP="00B13232">
      <w:pPr>
        <w:ind w:firstLineChars="100" w:firstLine="220"/>
        <w:rPr>
          <w:sz w:val="22"/>
        </w:rPr>
      </w:pPr>
      <w:r w:rsidRPr="00B13232">
        <w:rPr>
          <w:rFonts w:hint="eastAsia"/>
          <w:sz w:val="22"/>
        </w:rPr>
        <w:t>平成</w:t>
      </w:r>
      <w:r w:rsidRPr="00B13232">
        <w:rPr>
          <w:sz w:val="22"/>
        </w:rPr>
        <w:t xml:space="preserve">31 </w:t>
      </w:r>
      <w:r w:rsidRPr="00B13232">
        <w:rPr>
          <w:rFonts w:hint="eastAsia"/>
          <w:sz w:val="22"/>
        </w:rPr>
        <w:t>年度与党税制改正大綱においては、「今後、法人事業税における収入金額課税全体としてのあり方を踏まえながら、小売全面自由化され</w:t>
      </w:r>
      <w:r w:rsidRPr="00B13232">
        <w:rPr>
          <w:sz w:val="22"/>
        </w:rPr>
        <w:t xml:space="preserve">2020 </w:t>
      </w:r>
      <w:r w:rsidRPr="00B13232">
        <w:rPr>
          <w:rFonts w:hint="eastAsia"/>
          <w:sz w:val="22"/>
        </w:rPr>
        <w:t>年に法的分離する電気供給業及びガス供給業における新規参入の状況とその見通し、行政サービスの受益に応じた負担の観点、地方財政や個々の地方公共団体の税収に与える影響等を考慮しつつ、これらの法人に対する課税の枠組みに、付加価値額及び資本金等の額による外形標準課税を組み入れていくことについて、引き続き検討する」とされ、今後の検討課題に位置付けられているところである。</w:t>
      </w:r>
    </w:p>
    <w:p w:rsidR="00B13232" w:rsidRPr="00B13232" w:rsidRDefault="00B13232" w:rsidP="00B13232">
      <w:pPr>
        <w:rPr>
          <w:sz w:val="22"/>
        </w:rPr>
      </w:pPr>
    </w:p>
    <w:p w:rsidR="00B13232" w:rsidRPr="00B13232" w:rsidRDefault="00B13232" w:rsidP="00B13232">
      <w:pPr>
        <w:ind w:firstLineChars="100" w:firstLine="220"/>
        <w:rPr>
          <w:sz w:val="22"/>
        </w:rPr>
      </w:pPr>
      <w:r w:rsidRPr="00B13232">
        <w:rPr>
          <w:rFonts w:hint="eastAsia"/>
          <w:sz w:val="22"/>
        </w:rPr>
        <w:t>そもそも、法的分離が義務付けられる</w:t>
      </w:r>
      <w:r w:rsidRPr="00B13232">
        <w:rPr>
          <w:rFonts w:ascii="ＭＳ ゴシック" w:eastAsia="ＭＳ ゴシック" w:hAnsi="ＭＳ ゴシック" w:hint="eastAsia"/>
          <w:sz w:val="22"/>
        </w:rPr>
        <w:t>送配電事業</w:t>
      </w:r>
      <w:r w:rsidRPr="00B13232">
        <w:rPr>
          <w:rFonts w:hint="eastAsia"/>
          <w:sz w:val="22"/>
        </w:rPr>
        <w:t>（</w:t>
      </w:r>
      <w:r w:rsidRPr="00B13232">
        <w:rPr>
          <w:sz w:val="22"/>
        </w:rPr>
        <w:t xml:space="preserve">2020 </w:t>
      </w:r>
      <w:r w:rsidRPr="00B13232">
        <w:rPr>
          <w:rFonts w:hint="eastAsia"/>
          <w:sz w:val="22"/>
        </w:rPr>
        <w:t>年度（令和２年度））及び</w:t>
      </w:r>
      <w:r w:rsidRPr="00B13232">
        <w:rPr>
          <w:rFonts w:ascii="ＭＳ ゴシック" w:eastAsia="ＭＳ ゴシック" w:hAnsi="ＭＳ ゴシック" w:hint="eastAsia"/>
          <w:sz w:val="22"/>
        </w:rPr>
        <w:t>導管事業</w:t>
      </w:r>
      <w:r w:rsidRPr="00B13232">
        <w:rPr>
          <w:rFonts w:hint="eastAsia"/>
          <w:sz w:val="22"/>
        </w:rPr>
        <w:t>（</w:t>
      </w:r>
      <w:r w:rsidRPr="00B13232">
        <w:rPr>
          <w:sz w:val="22"/>
        </w:rPr>
        <w:t xml:space="preserve">2022 </w:t>
      </w:r>
      <w:r w:rsidRPr="00B13232">
        <w:rPr>
          <w:rFonts w:hint="eastAsia"/>
          <w:sz w:val="22"/>
        </w:rPr>
        <w:t>年度（令和４年度））においては、</w:t>
      </w:r>
      <w:r w:rsidRPr="00B13232">
        <w:rPr>
          <w:rFonts w:ascii="ＭＳ ゴシック" w:eastAsia="ＭＳ ゴシック" w:hAnsi="ＭＳ ゴシック" w:hint="eastAsia"/>
          <w:sz w:val="22"/>
        </w:rPr>
        <w:t>総括原価方式の規制料金が制度として維持</w:t>
      </w:r>
      <w:r w:rsidRPr="00B13232">
        <w:rPr>
          <w:rFonts w:hint="eastAsia"/>
          <w:sz w:val="22"/>
        </w:rPr>
        <w:t>されており、これらの事業について、</w:t>
      </w:r>
      <w:r w:rsidRPr="00B13232">
        <w:rPr>
          <w:rFonts w:ascii="ＭＳ ゴシック" w:eastAsia="ＭＳ ゴシック" w:hAnsi="ＭＳ ゴシック" w:hint="eastAsia"/>
          <w:sz w:val="22"/>
        </w:rPr>
        <w:t>収入金額課税制度を引き続き維持することは当然</w:t>
      </w:r>
      <w:r w:rsidRPr="00B13232">
        <w:rPr>
          <w:rFonts w:hint="eastAsia"/>
          <w:sz w:val="22"/>
        </w:rPr>
        <w:t>である。</w:t>
      </w:r>
    </w:p>
    <w:p w:rsidR="00B13232" w:rsidRPr="00B13232" w:rsidRDefault="00B13232" w:rsidP="00B13232">
      <w:pPr>
        <w:rPr>
          <w:sz w:val="22"/>
        </w:rPr>
      </w:pPr>
    </w:p>
    <w:p w:rsidR="00B13232" w:rsidRPr="00B13232" w:rsidRDefault="00B13232" w:rsidP="00B13232">
      <w:pPr>
        <w:ind w:firstLineChars="100" w:firstLine="220"/>
        <w:rPr>
          <w:sz w:val="22"/>
        </w:rPr>
      </w:pPr>
      <w:r w:rsidRPr="00B13232">
        <w:rPr>
          <w:rFonts w:hint="eastAsia"/>
          <w:sz w:val="22"/>
        </w:rPr>
        <w:t>また、これら以外の事業についても、平成</w:t>
      </w:r>
      <w:r w:rsidRPr="00B13232">
        <w:rPr>
          <w:sz w:val="22"/>
        </w:rPr>
        <w:t xml:space="preserve">31 </w:t>
      </w:r>
      <w:r w:rsidRPr="00B13232">
        <w:rPr>
          <w:rFonts w:hint="eastAsia"/>
          <w:sz w:val="22"/>
        </w:rPr>
        <w:t>年度与党税制改正大綱の趣旨に照らしても、</w:t>
      </w:r>
    </w:p>
    <w:p w:rsidR="00B13232" w:rsidRPr="00B13232" w:rsidRDefault="00B13232" w:rsidP="00B13232">
      <w:pPr>
        <w:ind w:left="220" w:hangingChars="100" w:hanging="220"/>
        <w:rPr>
          <w:sz w:val="22"/>
        </w:rPr>
      </w:pPr>
      <w:r w:rsidRPr="00B13232">
        <w:rPr>
          <w:rFonts w:hint="eastAsia"/>
          <w:sz w:val="22"/>
        </w:rPr>
        <w:t>①</w:t>
      </w:r>
      <w:r w:rsidRPr="00B13232">
        <w:rPr>
          <w:sz w:val="22"/>
        </w:rPr>
        <w:t xml:space="preserve"> </w:t>
      </w:r>
      <w:r w:rsidRPr="00B13232">
        <w:rPr>
          <w:rFonts w:ascii="ＭＳ ゴシック" w:eastAsia="ＭＳ ゴシック" w:hAnsi="ＭＳ ゴシック" w:hint="eastAsia"/>
          <w:sz w:val="22"/>
        </w:rPr>
        <w:t xml:space="preserve"> 発電事業</w:t>
      </w:r>
      <w:r w:rsidRPr="00B13232">
        <w:rPr>
          <w:rFonts w:hint="eastAsia"/>
          <w:sz w:val="22"/>
        </w:rPr>
        <w:t>は、</w:t>
      </w:r>
      <w:r w:rsidRPr="00B13232">
        <w:rPr>
          <w:rFonts w:ascii="ＭＳ ゴシック" w:eastAsia="ＭＳ ゴシック" w:hAnsi="ＭＳ ゴシック" w:hint="eastAsia"/>
          <w:sz w:val="22"/>
        </w:rPr>
        <w:t>原子力発電所をはじめとする大規模発電施設</w:t>
      </w:r>
      <w:r w:rsidRPr="00B13232">
        <w:rPr>
          <w:rFonts w:hint="eastAsia"/>
          <w:sz w:val="22"/>
        </w:rPr>
        <w:t>など、一般的に</w:t>
      </w:r>
      <w:r w:rsidRPr="00B13232">
        <w:rPr>
          <w:rFonts w:ascii="ＭＳ ゴシック" w:eastAsia="ＭＳ ゴシック" w:hAnsi="ＭＳ ゴシック" w:hint="eastAsia"/>
          <w:sz w:val="22"/>
        </w:rPr>
        <w:t>事業規模が大きく</w:t>
      </w:r>
      <w:r w:rsidRPr="00B13232">
        <w:rPr>
          <w:rFonts w:hint="eastAsia"/>
          <w:sz w:val="22"/>
        </w:rPr>
        <w:t>、かつ、</w:t>
      </w:r>
      <w:r w:rsidRPr="00B13232">
        <w:rPr>
          <w:rFonts w:ascii="ＭＳ ゴシック" w:eastAsia="ＭＳ ゴシック" w:hAnsi="ＭＳ ゴシック" w:hint="eastAsia"/>
          <w:sz w:val="22"/>
        </w:rPr>
        <w:t>多大な行政サービスを受益する</w:t>
      </w:r>
      <w:r w:rsidRPr="00B13232">
        <w:rPr>
          <w:rFonts w:hint="eastAsia"/>
          <w:sz w:val="22"/>
        </w:rPr>
        <w:t>という状況には一向に変わりがなく、小売全</w:t>
      </w:r>
      <w:r w:rsidRPr="00B13232">
        <w:rPr>
          <w:rFonts w:hint="eastAsia"/>
          <w:sz w:val="22"/>
        </w:rPr>
        <w:lastRenderedPageBreak/>
        <w:t>面自由化や送配電事業の法的分離が行われたからといって、このような</w:t>
      </w:r>
      <w:r w:rsidRPr="00B13232">
        <w:rPr>
          <w:rFonts w:ascii="ＭＳ ゴシック" w:eastAsia="ＭＳ ゴシック" w:hAnsi="ＭＳ ゴシック" w:hint="eastAsia"/>
          <w:sz w:val="22"/>
        </w:rPr>
        <w:t>他業種と異なる事業の性格・特徴が左右されるものではない</w:t>
      </w:r>
      <w:r w:rsidRPr="00B13232">
        <w:rPr>
          <w:rFonts w:hint="eastAsia"/>
          <w:sz w:val="22"/>
        </w:rPr>
        <w:t>。加えて、今後の我が国のエネルギー政策の大前提となる安全性の確保に向けて、</w:t>
      </w:r>
      <w:r w:rsidRPr="00B13232">
        <w:rPr>
          <w:rFonts w:ascii="ＭＳ ゴシック" w:eastAsia="ＭＳ ゴシック" w:hAnsi="ＭＳ ゴシック" w:hint="eastAsia"/>
          <w:sz w:val="22"/>
        </w:rPr>
        <w:t>電源立地都道府県が果たす役割は更に重要</w:t>
      </w:r>
      <w:r w:rsidRPr="00B13232">
        <w:rPr>
          <w:rFonts w:hint="eastAsia"/>
          <w:sz w:val="22"/>
        </w:rPr>
        <w:t>なものになること、</w:t>
      </w:r>
    </w:p>
    <w:p w:rsidR="00B13232" w:rsidRPr="00B13232" w:rsidRDefault="00B13232" w:rsidP="00B13232">
      <w:pPr>
        <w:ind w:leftChars="38" w:left="300" w:hangingChars="100" w:hanging="220"/>
        <w:rPr>
          <w:sz w:val="22"/>
        </w:rPr>
      </w:pPr>
      <w:r w:rsidRPr="00B13232">
        <w:rPr>
          <w:rFonts w:hint="eastAsia"/>
          <w:sz w:val="22"/>
        </w:rPr>
        <w:t>②</w:t>
      </w:r>
      <w:r w:rsidRPr="00B13232">
        <w:rPr>
          <w:sz w:val="22"/>
        </w:rPr>
        <w:t xml:space="preserve">  </w:t>
      </w:r>
      <w:r w:rsidRPr="00B13232">
        <w:rPr>
          <w:rFonts w:hint="eastAsia"/>
          <w:sz w:val="22"/>
        </w:rPr>
        <w:t>小売全面自由化後も</w:t>
      </w:r>
      <w:r w:rsidRPr="00B13232">
        <w:rPr>
          <w:rFonts w:ascii="ＭＳ ゴシック" w:eastAsia="ＭＳ ゴシック" w:hAnsi="ＭＳ ゴシック" w:hint="eastAsia"/>
          <w:sz w:val="22"/>
        </w:rPr>
        <w:t>消費者の新電力への契約先の切替えは低位</w:t>
      </w:r>
      <w:r w:rsidRPr="00B13232">
        <w:rPr>
          <w:rFonts w:hint="eastAsia"/>
          <w:sz w:val="22"/>
        </w:rPr>
        <w:t>にとどまっており、経済産業大臣から意見を求められた電力・ガス取引監視等委員会においても、現時点で競争圧力が十分に存在するとは認められない等の理由で、</w:t>
      </w:r>
      <w:r w:rsidRPr="00B13232">
        <w:rPr>
          <w:rFonts w:ascii="ＭＳ ゴシック" w:eastAsia="ＭＳ ゴシック" w:hAnsi="ＭＳ ゴシック" w:hint="eastAsia"/>
          <w:sz w:val="22"/>
        </w:rPr>
        <w:t>全国全ての供給区域で小売に係る規制料金は2020 年度（令和２年度）以降も当面存続されるべき</w:t>
      </w:r>
      <w:r w:rsidRPr="00B13232">
        <w:rPr>
          <w:rFonts w:hint="eastAsia"/>
          <w:sz w:val="22"/>
        </w:rPr>
        <w:t>との判断を示し、同判断に沿って</w:t>
      </w:r>
      <w:r w:rsidRPr="00B13232">
        <w:rPr>
          <w:rFonts w:ascii="ＭＳ ゴシック" w:eastAsia="ＭＳ ゴシック" w:hAnsi="ＭＳ ゴシック" w:hint="eastAsia"/>
          <w:sz w:val="22"/>
        </w:rPr>
        <w:t>既に経済産業大臣による供給区域の指定（経過措置規制料金の存続）もなされている</w:t>
      </w:r>
      <w:r w:rsidRPr="00B13232">
        <w:rPr>
          <w:rFonts w:hint="eastAsia"/>
          <w:sz w:val="22"/>
        </w:rPr>
        <w:t>こと、</w:t>
      </w:r>
    </w:p>
    <w:p w:rsidR="00B13232" w:rsidRPr="00B13232" w:rsidRDefault="00B13232" w:rsidP="00243B97">
      <w:pPr>
        <w:ind w:leftChars="38" w:left="300" w:hangingChars="100" w:hanging="220"/>
        <w:rPr>
          <w:rFonts w:hint="eastAsia"/>
          <w:sz w:val="22"/>
        </w:rPr>
      </w:pPr>
      <w:r w:rsidRPr="00B13232">
        <w:rPr>
          <w:rFonts w:hint="eastAsia"/>
          <w:sz w:val="22"/>
        </w:rPr>
        <w:t>③</w:t>
      </w:r>
      <w:r w:rsidRPr="00B13232">
        <w:rPr>
          <w:sz w:val="22"/>
        </w:rPr>
        <w:t xml:space="preserve">  </w:t>
      </w:r>
      <w:r w:rsidRPr="00B13232">
        <w:rPr>
          <w:rFonts w:hint="eastAsia"/>
          <w:sz w:val="22"/>
        </w:rPr>
        <w:t>経済産業省及び経済団体からの要望が仮に実現すれば、</w:t>
      </w:r>
      <w:r w:rsidRPr="00B13232">
        <w:rPr>
          <w:rFonts w:ascii="ＭＳ ゴシック" w:eastAsia="ＭＳ ゴシック" w:hAnsi="ＭＳ ゴシック" w:hint="eastAsia"/>
          <w:sz w:val="22"/>
        </w:rPr>
        <w:t>全都道府県で1,500 億円以上の減収</w:t>
      </w:r>
      <w:r w:rsidRPr="00B13232">
        <w:rPr>
          <w:rFonts w:hint="eastAsia"/>
          <w:sz w:val="22"/>
        </w:rPr>
        <w:t>が見込まれ、特に我が国の電源開発に多大な貢献をしてきた</w:t>
      </w:r>
      <w:r w:rsidRPr="00B13232">
        <w:rPr>
          <w:rFonts w:ascii="ＭＳ ゴシック" w:eastAsia="ＭＳ ゴシック" w:hAnsi="ＭＳ ゴシック" w:hint="eastAsia"/>
          <w:sz w:val="22"/>
        </w:rPr>
        <w:t>電源立地都道府県を中心に大きな減収</w:t>
      </w:r>
      <w:r w:rsidRPr="00B13232">
        <w:rPr>
          <w:rFonts w:hint="eastAsia"/>
          <w:sz w:val="22"/>
        </w:rPr>
        <w:t>が見込まれること、</w:t>
      </w:r>
    </w:p>
    <w:p w:rsidR="00543830" w:rsidRPr="00654F4B" w:rsidRDefault="00B13232" w:rsidP="00B13232">
      <w:pPr>
        <w:rPr>
          <w:sz w:val="22"/>
        </w:rPr>
      </w:pPr>
      <w:r w:rsidRPr="00B13232">
        <w:rPr>
          <w:rFonts w:hint="eastAsia"/>
          <w:sz w:val="22"/>
        </w:rPr>
        <w:t>等を踏まえれば、</w:t>
      </w:r>
      <w:r w:rsidRPr="00B13232">
        <w:rPr>
          <w:rFonts w:ascii="ＭＳ ゴシック" w:eastAsia="ＭＳ ゴシック" w:hAnsi="ＭＳ ゴシック" w:hint="eastAsia"/>
          <w:sz w:val="22"/>
        </w:rPr>
        <w:t>収入金額課税制度を堅持し、地方税収を安定的に確保すべき</w:t>
      </w:r>
      <w:r w:rsidRPr="00B13232">
        <w:rPr>
          <w:rFonts w:hint="eastAsia"/>
          <w:sz w:val="22"/>
        </w:rPr>
        <w:t>ことを求める。</w:t>
      </w:r>
    </w:p>
    <w:p w:rsidR="007F1360" w:rsidRPr="00654F4B" w:rsidRDefault="007F1360" w:rsidP="00543830">
      <w:pPr>
        <w:rPr>
          <w:rFonts w:ascii="ＭＳ ゴシック" w:eastAsia="ＭＳ ゴシック" w:hAnsi="ＭＳ ゴシック"/>
          <w:sz w:val="26"/>
          <w:szCs w:val="26"/>
        </w:rPr>
      </w:pPr>
    </w:p>
    <w:p w:rsidR="007F1360" w:rsidRDefault="007F1360" w:rsidP="00543830">
      <w:pPr>
        <w:rPr>
          <w:rFonts w:ascii="ＭＳ ゴシック" w:eastAsia="ＭＳ ゴシック" w:hAnsi="ＭＳ ゴシック"/>
          <w:sz w:val="26"/>
          <w:szCs w:val="26"/>
        </w:rPr>
      </w:pPr>
    </w:p>
    <w:p w:rsidR="00543830" w:rsidRPr="00FB30F3" w:rsidRDefault="00543830" w:rsidP="00543830">
      <w:pPr>
        <w:rPr>
          <w:rFonts w:ascii="ＭＳ 明朝" w:hAnsi="ＭＳ 明朝"/>
          <w:sz w:val="26"/>
          <w:szCs w:val="26"/>
        </w:rPr>
      </w:pPr>
      <w:r w:rsidRPr="00FB30F3">
        <w:rPr>
          <w:rFonts w:ascii="ＭＳ ゴシック" w:eastAsia="ＭＳ ゴシック" w:hAnsi="ＭＳ ゴシック" w:hint="eastAsia"/>
          <w:sz w:val="26"/>
          <w:szCs w:val="26"/>
        </w:rPr>
        <w:t xml:space="preserve">　</w:t>
      </w:r>
      <w:r w:rsidR="008B1492">
        <w:rPr>
          <w:rFonts w:ascii="ＭＳ 明朝" w:hAnsi="ＭＳ 明朝" w:hint="eastAsia"/>
          <w:sz w:val="26"/>
          <w:szCs w:val="26"/>
        </w:rPr>
        <w:t>令和元</w:t>
      </w:r>
      <w:r w:rsidRPr="00FB30F3">
        <w:rPr>
          <w:rFonts w:ascii="ＭＳ 明朝" w:hAnsi="ＭＳ 明朝" w:hint="eastAsia"/>
          <w:sz w:val="26"/>
          <w:szCs w:val="26"/>
        </w:rPr>
        <w:t>年</w:t>
      </w:r>
      <w:r w:rsidR="0021495E">
        <w:rPr>
          <w:rFonts w:ascii="ＭＳ 明朝" w:hAnsi="ＭＳ 明朝" w:hint="eastAsia"/>
          <w:sz w:val="26"/>
          <w:szCs w:val="26"/>
        </w:rPr>
        <w:t>１１</w:t>
      </w:r>
      <w:r>
        <w:rPr>
          <w:rFonts w:ascii="ＭＳ 明朝" w:hAnsi="ＭＳ 明朝" w:hint="eastAsia"/>
          <w:sz w:val="26"/>
          <w:szCs w:val="26"/>
        </w:rPr>
        <w:t>月</w:t>
      </w:r>
    </w:p>
    <w:p w:rsidR="00543830" w:rsidRDefault="00543830" w:rsidP="00543830">
      <w:pPr>
        <w:rPr>
          <w:rFonts w:ascii="ＭＳ 明朝" w:hAnsi="ＭＳ 明朝"/>
          <w:sz w:val="24"/>
          <w:szCs w:val="24"/>
        </w:rPr>
      </w:pPr>
    </w:p>
    <w:p w:rsidR="002C4217" w:rsidRPr="00FB30F3" w:rsidRDefault="00543830" w:rsidP="002C4217">
      <w:pPr>
        <w:ind w:firstLineChars="1600" w:firstLine="4160"/>
        <w:rPr>
          <w:rFonts w:ascii="ＭＳ 明朝" w:hAnsi="ＭＳ 明朝" w:hint="eastAsia"/>
          <w:sz w:val="26"/>
          <w:szCs w:val="26"/>
        </w:rPr>
      </w:pPr>
      <w:r w:rsidRPr="00FB30F3">
        <w:rPr>
          <w:rFonts w:ascii="ＭＳ 明朝" w:hAnsi="ＭＳ 明朝" w:hint="eastAsia"/>
          <w:sz w:val="26"/>
          <w:szCs w:val="26"/>
        </w:rPr>
        <w:t>近畿ブロック知事会</w:t>
      </w:r>
    </w:p>
    <w:p w:rsidR="00543830" w:rsidRPr="00FB30F3" w:rsidRDefault="008B1492" w:rsidP="002C4217">
      <w:pPr>
        <w:jc w:val="left"/>
        <w:rPr>
          <w:rFonts w:ascii="ＭＳ 明朝" w:hAnsi="ＭＳ 明朝"/>
          <w:sz w:val="26"/>
          <w:szCs w:val="26"/>
        </w:rPr>
      </w:pPr>
      <w:r>
        <w:rPr>
          <w:rFonts w:ascii="ＭＳ 明朝" w:hAnsi="ＭＳ 明朝" w:hint="eastAsia"/>
          <w:sz w:val="26"/>
          <w:szCs w:val="26"/>
        </w:rPr>
        <w:t xml:space="preserve">　　　　　　　　　　　　　　</w:t>
      </w:r>
      <w:r w:rsidR="002C4217">
        <w:rPr>
          <w:rFonts w:ascii="ＭＳ 明朝" w:hAnsi="ＭＳ 明朝" w:hint="eastAsia"/>
          <w:sz w:val="26"/>
          <w:szCs w:val="26"/>
        </w:rPr>
        <w:t xml:space="preserve">　　　</w:t>
      </w:r>
      <w:r>
        <w:rPr>
          <w:rFonts w:ascii="ＭＳ 明朝" w:hAnsi="ＭＳ 明朝" w:hint="eastAsia"/>
          <w:sz w:val="26"/>
          <w:szCs w:val="26"/>
        </w:rPr>
        <w:t>福井県知事　　杉　本　達　治</w:t>
      </w:r>
      <w:r w:rsidR="00543830" w:rsidRPr="00FB30F3">
        <w:rPr>
          <w:rFonts w:ascii="ＭＳ 明朝" w:hAnsi="ＭＳ 明朝" w:hint="eastAsia"/>
          <w:sz w:val="26"/>
          <w:szCs w:val="26"/>
        </w:rPr>
        <w:tab/>
      </w:r>
    </w:p>
    <w:p w:rsidR="00543830" w:rsidRPr="00FB30F3" w:rsidRDefault="00543830" w:rsidP="002C4217">
      <w:pPr>
        <w:ind w:right="260" w:firstLineChars="1700" w:firstLine="4420"/>
        <w:jc w:val="left"/>
        <w:rPr>
          <w:rFonts w:ascii="ＭＳ 明朝" w:hAnsi="ＭＳ 明朝"/>
          <w:sz w:val="26"/>
          <w:szCs w:val="26"/>
        </w:rPr>
      </w:pPr>
      <w:r w:rsidRPr="00FB30F3">
        <w:rPr>
          <w:rFonts w:ascii="ＭＳ 明朝" w:hAnsi="ＭＳ 明朝" w:hint="eastAsia"/>
          <w:sz w:val="26"/>
          <w:szCs w:val="26"/>
        </w:rPr>
        <w:t>三重県知事　　鈴　木　英　敬</w:t>
      </w:r>
      <w:r w:rsidRPr="00FB30F3">
        <w:rPr>
          <w:rFonts w:ascii="ＭＳ 明朝" w:hAnsi="ＭＳ 明朝" w:hint="eastAsia"/>
          <w:sz w:val="26"/>
          <w:szCs w:val="26"/>
        </w:rPr>
        <w:tab/>
      </w:r>
    </w:p>
    <w:p w:rsidR="00543830" w:rsidRPr="00FB30F3" w:rsidRDefault="00543830" w:rsidP="002C4217">
      <w:pPr>
        <w:ind w:right="260" w:firstLineChars="1700" w:firstLine="4420"/>
        <w:jc w:val="left"/>
        <w:rPr>
          <w:rFonts w:ascii="ＭＳ 明朝" w:hAnsi="ＭＳ 明朝"/>
          <w:sz w:val="26"/>
          <w:szCs w:val="26"/>
        </w:rPr>
      </w:pPr>
      <w:r w:rsidRPr="00FB30F3">
        <w:rPr>
          <w:rFonts w:ascii="ＭＳ 明朝" w:hAnsi="ＭＳ 明朝" w:hint="eastAsia"/>
          <w:sz w:val="26"/>
          <w:szCs w:val="26"/>
        </w:rPr>
        <w:t>滋賀県知事　　三日月　大　造</w:t>
      </w:r>
      <w:r w:rsidRPr="00FB30F3">
        <w:rPr>
          <w:rFonts w:ascii="ＭＳ 明朝" w:hAnsi="ＭＳ 明朝" w:hint="eastAsia"/>
          <w:sz w:val="26"/>
          <w:szCs w:val="26"/>
        </w:rPr>
        <w:tab/>
      </w:r>
    </w:p>
    <w:p w:rsidR="00543830" w:rsidRPr="00FB30F3" w:rsidRDefault="00D45924" w:rsidP="002C4217">
      <w:pPr>
        <w:ind w:right="260" w:firstLineChars="1700" w:firstLine="4420"/>
        <w:jc w:val="left"/>
        <w:rPr>
          <w:rFonts w:ascii="ＭＳ 明朝" w:hAnsi="ＭＳ 明朝"/>
          <w:sz w:val="26"/>
          <w:szCs w:val="26"/>
        </w:rPr>
      </w:pPr>
      <w:r>
        <w:rPr>
          <w:rFonts w:ascii="ＭＳ 明朝" w:hAnsi="ＭＳ 明朝" w:hint="eastAsia"/>
          <w:sz w:val="26"/>
          <w:szCs w:val="26"/>
        </w:rPr>
        <w:t>京都府知事　　西　脇　隆　俊</w:t>
      </w:r>
      <w:r w:rsidR="00543830" w:rsidRPr="00FB30F3">
        <w:rPr>
          <w:rFonts w:ascii="ＭＳ 明朝" w:hAnsi="ＭＳ 明朝" w:hint="eastAsia"/>
          <w:sz w:val="26"/>
          <w:szCs w:val="26"/>
        </w:rPr>
        <w:tab/>
      </w:r>
    </w:p>
    <w:p w:rsidR="00543830" w:rsidRPr="00FB30F3" w:rsidRDefault="008B1492" w:rsidP="002C4217">
      <w:pPr>
        <w:ind w:right="260" w:firstLineChars="1700" w:firstLine="4420"/>
        <w:jc w:val="left"/>
        <w:rPr>
          <w:rFonts w:ascii="ＭＳ 明朝" w:hAnsi="ＭＳ 明朝"/>
          <w:sz w:val="26"/>
          <w:szCs w:val="26"/>
        </w:rPr>
      </w:pPr>
      <w:r>
        <w:rPr>
          <w:rFonts w:ascii="ＭＳ 明朝" w:hAnsi="ＭＳ 明朝" w:hint="eastAsia"/>
          <w:sz w:val="26"/>
          <w:szCs w:val="26"/>
        </w:rPr>
        <w:t>大阪府知事　　吉　村　洋　文</w:t>
      </w:r>
    </w:p>
    <w:p w:rsidR="00543830" w:rsidRDefault="00543830" w:rsidP="002C4217">
      <w:pPr>
        <w:ind w:right="260" w:firstLineChars="1700" w:firstLine="4420"/>
        <w:jc w:val="left"/>
        <w:rPr>
          <w:rFonts w:ascii="ＭＳ 明朝" w:hAnsi="ＭＳ 明朝"/>
          <w:sz w:val="26"/>
          <w:szCs w:val="26"/>
        </w:rPr>
      </w:pPr>
      <w:r w:rsidRPr="00FB30F3">
        <w:rPr>
          <w:rFonts w:ascii="ＭＳ 明朝" w:hAnsi="ＭＳ 明朝" w:hint="eastAsia"/>
          <w:sz w:val="26"/>
          <w:szCs w:val="26"/>
        </w:rPr>
        <w:t>兵庫県知事　　井　戸　敏　三</w:t>
      </w:r>
      <w:r w:rsidRPr="00FB30F3">
        <w:rPr>
          <w:rFonts w:ascii="ＭＳ 明朝" w:hAnsi="ＭＳ 明朝" w:hint="eastAsia"/>
          <w:sz w:val="26"/>
          <w:szCs w:val="26"/>
        </w:rPr>
        <w:tab/>
      </w:r>
    </w:p>
    <w:p w:rsidR="00543830" w:rsidRPr="00FB30F3" w:rsidRDefault="00543830" w:rsidP="002C4217">
      <w:pPr>
        <w:wordWrap w:val="0"/>
        <w:ind w:right="260" w:firstLineChars="1700" w:firstLine="4420"/>
        <w:jc w:val="left"/>
        <w:rPr>
          <w:rFonts w:ascii="ＭＳ 明朝" w:hAnsi="ＭＳ 明朝"/>
          <w:sz w:val="26"/>
          <w:szCs w:val="26"/>
        </w:rPr>
      </w:pPr>
      <w:r>
        <w:rPr>
          <w:rFonts w:ascii="ＭＳ 明朝" w:hAnsi="ＭＳ 明朝" w:hint="eastAsia"/>
          <w:sz w:val="26"/>
          <w:szCs w:val="26"/>
        </w:rPr>
        <w:t>奈良県知事　　荒　井　正　吾</w:t>
      </w:r>
    </w:p>
    <w:p w:rsidR="00543830" w:rsidRPr="00FB30F3" w:rsidRDefault="00543830" w:rsidP="002C4217">
      <w:pPr>
        <w:jc w:val="left"/>
        <w:rPr>
          <w:rFonts w:ascii="ＭＳ 明朝" w:hAnsi="ＭＳ 明朝"/>
          <w:sz w:val="26"/>
          <w:szCs w:val="26"/>
        </w:rPr>
      </w:pPr>
      <w:r w:rsidRPr="00FB30F3">
        <w:rPr>
          <w:rFonts w:ascii="ＭＳ 明朝" w:hAnsi="ＭＳ 明朝" w:hint="eastAsia"/>
          <w:sz w:val="26"/>
          <w:szCs w:val="26"/>
        </w:rPr>
        <w:t xml:space="preserve">　　　　　　　　　　　　　　</w:t>
      </w:r>
      <w:r w:rsidR="002C4217">
        <w:rPr>
          <w:rFonts w:ascii="ＭＳ 明朝" w:hAnsi="ＭＳ 明朝" w:hint="eastAsia"/>
          <w:sz w:val="26"/>
          <w:szCs w:val="26"/>
        </w:rPr>
        <w:t xml:space="preserve">　　　</w:t>
      </w:r>
      <w:r w:rsidRPr="00FB30F3">
        <w:rPr>
          <w:rFonts w:ascii="ＭＳ 明朝" w:hAnsi="ＭＳ 明朝" w:hint="eastAsia"/>
          <w:sz w:val="26"/>
          <w:szCs w:val="26"/>
        </w:rPr>
        <w:t>和歌山県知事　仁　坂　吉　伸</w:t>
      </w:r>
      <w:r w:rsidRPr="00FB30F3">
        <w:rPr>
          <w:rFonts w:ascii="ＭＳ 明朝" w:hAnsi="ＭＳ 明朝" w:hint="eastAsia"/>
          <w:sz w:val="26"/>
          <w:szCs w:val="26"/>
        </w:rPr>
        <w:tab/>
      </w:r>
    </w:p>
    <w:p w:rsidR="00543830" w:rsidRPr="00FB30F3" w:rsidRDefault="00543830" w:rsidP="002C4217">
      <w:pPr>
        <w:jc w:val="left"/>
        <w:rPr>
          <w:rFonts w:ascii="ＭＳ ゴシック" w:eastAsia="ＭＳ ゴシック" w:hAnsi="ＭＳ ゴシック"/>
          <w:sz w:val="26"/>
          <w:szCs w:val="26"/>
        </w:rPr>
      </w:pPr>
      <w:r w:rsidRPr="00FB30F3">
        <w:rPr>
          <w:rFonts w:ascii="ＭＳ 明朝" w:hAnsi="ＭＳ 明朝" w:hint="eastAsia"/>
          <w:sz w:val="26"/>
          <w:szCs w:val="26"/>
        </w:rPr>
        <w:t xml:space="preserve">　　　　　　　　　　　　　　</w:t>
      </w:r>
      <w:r w:rsidR="002C4217">
        <w:rPr>
          <w:rFonts w:ascii="ＭＳ 明朝" w:hAnsi="ＭＳ 明朝" w:hint="eastAsia"/>
          <w:sz w:val="26"/>
          <w:szCs w:val="26"/>
        </w:rPr>
        <w:t xml:space="preserve">　　　</w:t>
      </w:r>
      <w:r w:rsidRPr="00FB30F3">
        <w:rPr>
          <w:rFonts w:ascii="ＭＳ 明朝" w:hAnsi="ＭＳ 明朝" w:hint="eastAsia"/>
          <w:sz w:val="26"/>
          <w:szCs w:val="26"/>
        </w:rPr>
        <w:t>鳥取県知事　　平　井　伸　治</w:t>
      </w:r>
      <w:r w:rsidRPr="00FB30F3">
        <w:rPr>
          <w:rFonts w:ascii="ＭＳ ゴシック" w:eastAsia="ＭＳ ゴシック" w:hAnsi="ＭＳ ゴシック" w:hint="eastAsia"/>
          <w:sz w:val="26"/>
          <w:szCs w:val="26"/>
        </w:rPr>
        <w:tab/>
      </w:r>
    </w:p>
    <w:p w:rsidR="00543830" w:rsidRPr="00FB30F3" w:rsidRDefault="00543830" w:rsidP="002C4217">
      <w:pPr>
        <w:ind w:rightChars="133" w:right="279"/>
        <w:jc w:val="left"/>
        <w:rPr>
          <w:rFonts w:ascii="ＭＳ 明朝" w:hAnsi="ＭＳ 明朝"/>
          <w:sz w:val="26"/>
          <w:szCs w:val="26"/>
        </w:rPr>
      </w:pPr>
      <w:r w:rsidRPr="00FB30F3">
        <w:rPr>
          <w:rFonts w:ascii="ＭＳ ゴシック" w:eastAsia="ＭＳ ゴシック" w:hAnsi="ＭＳ ゴシック" w:hint="eastAsia"/>
          <w:kern w:val="0"/>
          <w:sz w:val="26"/>
          <w:szCs w:val="26"/>
        </w:rPr>
        <w:t xml:space="preserve">　　　　　　　　　　　</w:t>
      </w:r>
      <w:r w:rsidR="002C4217">
        <w:rPr>
          <w:rFonts w:ascii="ＭＳ ゴシック" w:eastAsia="ＭＳ ゴシック" w:hAnsi="ＭＳ ゴシック" w:hint="eastAsia"/>
          <w:kern w:val="0"/>
          <w:sz w:val="26"/>
          <w:szCs w:val="26"/>
        </w:rPr>
        <w:t xml:space="preserve">　　　　　　</w:t>
      </w:r>
      <w:r w:rsidRPr="00FB30F3">
        <w:rPr>
          <w:rFonts w:ascii="ＭＳ 明朝" w:hAnsi="ＭＳ 明朝" w:hint="eastAsia"/>
          <w:kern w:val="0"/>
          <w:sz w:val="26"/>
          <w:szCs w:val="26"/>
        </w:rPr>
        <w:t>徳島県知事　　飯　泉　嘉　門</w:t>
      </w:r>
    </w:p>
    <w:p w:rsidR="00543830" w:rsidRPr="00543830" w:rsidRDefault="00543830" w:rsidP="004C2200">
      <w:pPr>
        <w:snapToGrid w:val="0"/>
        <w:spacing w:line="360" w:lineRule="exact"/>
        <w:ind w:left="480" w:hangingChars="200" w:hanging="480"/>
        <w:rPr>
          <w:rFonts w:hint="eastAsia"/>
          <w:sz w:val="24"/>
          <w:szCs w:val="24"/>
        </w:rPr>
      </w:pPr>
    </w:p>
    <w:sectPr w:rsidR="00543830" w:rsidRPr="00543830" w:rsidSect="00FC371A">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1D5" w:rsidRDefault="000271D5" w:rsidP="003A6B0E">
      <w:r>
        <w:separator/>
      </w:r>
    </w:p>
  </w:endnote>
  <w:endnote w:type="continuationSeparator" w:id="0">
    <w:p w:rsidR="000271D5" w:rsidRDefault="000271D5"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1D5" w:rsidRDefault="000271D5" w:rsidP="003A6B0E">
      <w:r>
        <w:separator/>
      </w:r>
    </w:p>
  </w:footnote>
  <w:footnote w:type="continuationSeparator" w:id="0">
    <w:p w:rsidR="000271D5" w:rsidRDefault="000271D5" w:rsidP="003A6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57"/>
    <w:rsid w:val="0000578F"/>
    <w:rsid w:val="00012E51"/>
    <w:rsid w:val="000271D5"/>
    <w:rsid w:val="000279F1"/>
    <w:rsid w:val="00047E0F"/>
    <w:rsid w:val="00051AEF"/>
    <w:rsid w:val="00064D5E"/>
    <w:rsid w:val="0006579E"/>
    <w:rsid w:val="000745DB"/>
    <w:rsid w:val="00090705"/>
    <w:rsid w:val="000A474A"/>
    <w:rsid w:val="000B03B6"/>
    <w:rsid w:val="000C04A2"/>
    <w:rsid w:val="000E210B"/>
    <w:rsid w:val="001074F4"/>
    <w:rsid w:val="00191B5A"/>
    <w:rsid w:val="001970E0"/>
    <w:rsid w:val="001A1D08"/>
    <w:rsid w:val="001D0957"/>
    <w:rsid w:val="001D4D7A"/>
    <w:rsid w:val="001E4721"/>
    <w:rsid w:val="001E63E8"/>
    <w:rsid w:val="0021495E"/>
    <w:rsid w:val="00243B97"/>
    <w:rsid w:val="002465A5"/>
    <w:rsid w:val="002A3B29"/>
    <w:rsid w:val="002B5FEE"/>
    <w:rsid w:val="002C0EF3"/>
    <w:rsid w:val="002C4217"/>
    <w:rsid w:val="002D396B"/>
    <w:rsid w:val="003517AB"/>
    <w:rsid w:val="003775D9"/>
    <w:rsid w:val="00395F77"/>
    <w:rsid w:val="003A6B0E"/>
    <w:rsid w:val="003E635D"/>
    <w:rsid w:val="00402442"/>
    <w:rsid w:val="00411FDD"/>
    <w:rsid w:val="0041772D"/>
    <w:rsid w:val="0041786B"/>
    <w:rsid w:val="004218A8"/>
    <w:rsid w:val="00427E46"/>
    <w:rsid w:val="0044310B"/>
    <w:rsid w:val="00450EF1"/>
    <w:rsid w:val="00457F3F"/>
    <w:rsid w:val="004600AD"/>
    <w:rsid w:val="004755F9"/>
    <w:rsid w:val="004766B7"/>
    <w:rsid w:val="004979C9"/>
    <w:rsid w:val="004C2200"/>
    <w:rsid w:val="00503D33"/>
    <w:rsid w:val="0052680E"/>
    <w:rsid w:val="005429A5"/>
    <w:rsid w:val="00543830"/>
    <w:rsid w:val="00570730"/>
    <w:rsid w:val="00594066"/>
    <w:rsid w:val="005B584F"/>
    <w:rsid w:val="005C571C"/>
    <w:rsid w:val="005E1497"/>
    <w:rsid w:val="005E6A89"/>
    <w:rsid w:val="0060554B"/>
    <w:rsid w:val="00615B8B"/>
    <w:rsid w:val="0061717A"/>
    <w:rsid w:val="0061799F"/>
    <w:rsid w:val="0062677C"/>
    <w:rsid w:val="00652F10"/>
    <w:rsid w:val="00654F4B"/>
    <w:rsid w:val="0066065A"/>
    <w:rsid w:val="006A2850"/>
    <w:rsid w:val="006A57A1"/>
    <w:rsid w:val="006D25CC"/>
    <w:rsid w:val="006D7741"/>
    <w:rsid w:val="006E60A4"/>
    <w:rsid w:val="006F6AFB"/>
    <w:rsid w:val="0071749E"/>
    <w:rsid w:val="00745388"/>
    <w:rsid w:val="00766776"/>
    <w:rsid w:val="00790A57"/>
    <w:rsid w:val="0079739F"/>
    <w:rsid w:val="007D282C"/>
    <w:rsid w:val="007F1360"/>
    <w:rsid w:val="00822C92"/>
    <w:rsid w:val="008370D2"/>
    <w:rsid w:val="00852C31"/>
    <w:rsid w:val="00854927"/>
    <w:rsid w:val="00864C3C"/>
    <w:rsid w:val="008775E4"/>
    <w:rsid w:val="008A0311"/>
    <w:rsid w:val="008B1492"/>
    <w:rsid w:val="008B34EC"/>
    <w:rsid w:val="008F5994"/>
    <w:rsid w:val="00903EF3"/>
    <w:rsid w:val="00915A15"/>
    <w:rsid w:val="0095096B"/>
    <w:rsid w:val="009641D4"/>
    <w:rsid w:val="00977EF3"/>
    <w:rsid w:val="00996B2D"/>
    <w:rsid w:val="009B7084"/>
    <w:rsid w:val="009C1865"/>
    <w:rsid w:val="00A14AD0"/>
    <w:rsid w:val="00A34BC2"/>
    <w:rsid w:val="00A400CF"/>
    <w:rsid w:val="00A97289"/>
    <w:rsid w:val="00AA39F0"/>
    <w:rsid w:val="00AC7CDA"/>
    <w:rsid w:val="00B07252"/>
    <w:rsid w:val="00B13232"/>
    <w:rsid w:val="00B62128"/>
    <w:rsid w:val="00B6787D"/>
    <w:rsid w:val="00B83A59"/>
    <w:rsid w:val="00BA037F"/>
    <w:rsid w:val="00BB09F7"/>
    <w:rsid w:val="00BB58FB"/>
    <w:rsid w:val="00BD58DE"/>
    <w:rsid w:val="00BD6791"/>
    <w:rsid w:val="00BE1D77"/>
    <w:rsid w:val="00C0213D"/>
    <w:rsid w:val="00C27E0F"/>
    <w:rsid w:val="00C43A36"/>
    <w:rsid w:val="00C514C4"/>
    <w:rsid w:val="00C61FAF"/>
    <w:rsid w:val="00C862FF"/>
    <w:rsid w:val="00CC21FC"/>
    <w:rsid w:val="00CF223C"/>
    <w:rsid w:val="00D054D9"/>
    <w:rsid w:val="00D10AC3"/>
    <w:rsid w:val="00D1297D"/>
    <w:rsid w:val="00D30B58"/>
    <w:rsid w:val="00D3779E"/>
    <w:rsid w:val="00D378AD"/>
    <w:rsid w:val="00D45924"/>
    <w:rsid w:val="00D569A0"/>
    <w:rsid w:val="00D64031"/>
    <w:rsid w:val="00D670EC"/>
    <w:rsid w:val="00DB28F2"/>
    <w:rsid w:val="00DB337B"/>
    <w:rsid w:val="00DB7AD5"/>
    <w:rsid w:val="00DE1503"/>
    <w:rsid w:val="00DF1667"/>
    <w:rsid w:val="00E21BA6"/>
    <w:rsid w:val="00E47B3D"/>
    <w:rsid w:val="00E82A8D"/>
    <w:rsid w:val="00E86DD3"/>
    <w:rsid w:val="00ED4440"/>
    <w:rsid w:val="00EF2F47"/>
    <w:rsid w:val="00F72512"/>
    <w:rsid w:val="00F87F3F"/>
    <w:rsid w:val="00FA0E08"/>
    <w:rsid w:val="00FC164E"/>
    <w:rsid w:val="00FC20D3"/>
    <w:rsid w:val="00FC371A"/>
    <w:rsid w:val="00FD7E6F"/>
    <w:rsid w:val="00FF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9879D1E1-D049-44BE-95EB-57FB89B6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98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285</Words>
  <Characters>1626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dc:creator>
  <cp:keywords/>
  <cp:lastModifiedBy>向井 智志</cp:lastModifiedBy>
  <cp:revision>2</cp:revision>
  <cp:lastPrinted>2019-11-26T11:26:00Z</cp:lastPrinted>
  <dcterms:created xsi:type="dcterms:W3CDTF">2020-01-28T04:57:00Z</dcterms:created>
  <dcterms:modified xsi:type="dcterms:W3CDTF">2020-01-28T04:57:00Z</dcterms:modified>
</cp:coreProperties>
</file>