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5B" w:rsidRDefault="00367888" w:rsidP="003A205B">
      <w:pPr>
        <w:jc w:val="center"/>
      </w:pPr>
      <w:r>
        <w:rPr>
          <w:rFonts w:hint="eastAsia"/>
          <w:noProof/>
          <w:sz w:val="32"/>
        </w:rPr>
        <mc:AlternateContent>
          <mc:Choice Requires="wps">
            <w:drawing>
              <wp:anchor distT="0" distB="0" distL="114300" distR="114300" simplePos="0" relativeHeight="251659264" behindDoc="0" locked="0" layoutInCell="1" allowOverlap="1">
                <wp:simplePos x="0" y="0"/>
                <wp:positionH relativeFrom="column">
                  <wp:posOffset>5181107</wp:posOffset>
                </wp:positionH>
                <wp:positionV relativeFrom="paragraph">
                  <wp:posOffset>-26310</wp:posOffset>
                </wp:positionV>
                <wp:extent cx="777923" cy="320723"/>
                <wp:effectExtent l="0" t="0" r="22225" b="22225"/>
                <wp:wrapNone/>
                <wp:docPr id="1" name="正方形/長方形 1"/>
                <wp:cNvGraphicFramePr/>
                <a:graphic xmlns:a="http://schemas.openxmlformats.org/drawingml/2006/main">
                  <a:graphicData uri="http://schemas.microsoft.com/office/word/2010/wordprocessingShape">
                    <wps:wsp>
                      <wps:cNvSpPr/>
                      <wps:spPr>
                        <a:xfrm>
                          <a:off x="0" y="0"/>
                          <a:ext cx="777923" cy="32072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7888" w:rsidRPr="00367888" w:rsidRDefault="00367888" w:rsidP="00367888">
                            <w:pPr>
                              <w:jc w:val="center"/>
                              <w:rPr>
                                <w:color w:val="000000" w:themeColor="text1"/>
                              </w:rPr>
                            </w:pPr>
                            <w:r w:rsidRPr="00367888">
                              <w:rPr>
                                <w:rFonts w:hint="eastAsia"/>
                                <w:color w:val="000000" w:themeColor="text1"/>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07.95pt;margin-top:-2.05pt;width:61.25pt;height:2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" fillcolor="white [3212]" strokecolor="black [3213]">
                <v:textbox>
                  <w:txbxContent>
                    <w:p w:rsidR="00367888" w:rsidRPr="00367888" w:rsidRDefault="00367888" w:rsidP="00367888">
                      <w:pPr>
                        <w:jc w:val="center"/>
                        <w:rPr>
                          <w:color w:val="000000" w:themeColor="text1"/>
                        </w:rPr>
                      </w:pPr>
                      <w:bookmarkStart w:id="1" w:name="_GoBack"/>
                      <w:r w:rsidRPr="00367888">
                        <w:rPr>
                          <w:rFonts w:hint="eastAsia"/>
                          <w:color w:val="000000" w:themeColor="text1"/>
                        </w:rPr>
                        <w:t>資料２</w:t>
                      </w:r>
                      <w:bookmarkEnd w:id="1"/>
                    </w:p>
                  </w:txbxContent>
                </v:textbox>
              </v:rect>
            </w:pict>
          </mc:Fallback>
        </mc:AlternateContent>
      </w:r>
      <w:r w:rsidR="003A205B" w:rsidRPr="003A205B">
        <w:rPr>
          <w:rFonts w:hint="eastAsia"/>
          <w:sz w:val="32"/>
        </w:rPr>
        <w:t>大阪府附属機関条例</w:t>
      </w:r>
    </w:p>
    <w:p w:rsidR="003A205B" w:rsidRDefault="003A205B" w:rsidP="003A205B">
      <w:pPr>
        <w:jc w:val="right"/>
      </w:pPr>
      <w:r>
        <w:rPr>
          <w:rFonts w:hint="eastAsia"/>
        </w:rPr>
        <w:t>昭和二十七年十二月二十二日</w:t>
      </w:r>
    </w:p>
    <w:p w:rsidR="003A205B" w:rsidRDefault="003A205B" w:rsidP="003A205B">
      <w:pPr>
        <w:jc w:val="right"/>
      </w:pPr>
      <w:r>
        <w:rPr>
          <w:rFonts w:hint="eastAsia"/>
        </w:rPr>
        <w:t>大阪府条例第三十九号</w:t>
      </w:r>
    </w:p>
    <w:p w:rsidR="003A205B" w:rsidRDefault="003A205B" w:rsidP="003A205B">
      <w:r>
        <w:rPr>
          <w:rFonts w:hint="eastAsia"/>
        </w:rPr>
        <w:t>(</w:t>
      </w:r>
      <w:r>
        <w:rPr>
          <w:rFonts w:hint="eastAsia"/>
        </w:rPr>
        <w:t>趣旨</w:t>
      </w:r>
      <w:r>
        <w:rPr>
          <w:rFonts w:hint="eastAsia"/>
        </w:rPr>
        <w:t>)</w:t>
      </w:r>
    </w:p>
    <w:p w:rsidR="003A205B" w:rsidRDefault="003A205B" w:rsidP="003A205B">
      <w:pPr>
        <w:ind w:left="210" w:hangingChars="100" w:hanging="210"/>
      </w:pPr>
      <w:r>
        <w:rPr>
          <w:rFonts w:hint="eastAsia"/>
        </w:rPr>
        <w:t>第一条　この条例は、法律若しくはこれに基づく政令又は他の条例に定めるもののほか、府が設置する執行機関の附属機関について、地方自治法</w:t>
      </w:r>
      <w:r>
        <w:rPr>
          <w:rFonts w:hint="eastAsia"/>
        </w:rPr>
        <w:t>(</w:t>
      </w:r>
      <w:r>
        <w:rPr>
          <w:rFonts w:hint="eastAsia"/>
        </w:rPr>
        <w:t>昭和二十二年法律第六十七号</w:t>
      </w:r>
      <w:r>
        <w:rPr>
          <w:rFonts w:hint="eastAsia"/>
        </w:rPr>
        <w:t>)</w:t>
      </w:r>
      <w:r>
        <w:rPr>
          <w:rFonts w:hint="eastAsia"/>
        </w:rPr>
        <w:t>第百三十八条の四第三項、第二百二条の三第一項及び第二百三条の二第四項の規定に基づき、その設置、担任する事務、委員その他の構成員</w:t>
      </w:r>
      <w:r>
        <w:rPr>
          <w:rFonts w:hint="eastAsia"/>
        </w:rPr>
        <w:t>(</w:t>
      </w:r>
      <w:r>
        <w:rPr>
          <w:rFonts w:hint="eastAsia"/>
        </w:rPr>
        <w:t>以下「委員等」という。</w:t>
      </w:r>
      <w:r>
        <w:rPr>
          <w:rFonts w:hint="eastAsia"/>
        </w:rPr>
        <w:t>)</w:t>
      </w:r>
      <w:r>
        <w:rPr>
          <w:rFonts w:hint="eastAsia"/>
        </w:rPr>
        <w:t>の報酬及び費用弁償並びにその支給方法その他附属機関に関し必要な事項を定めるものとする。</w:t>
      </w:r>
    </w:p>
    <w:p w:rsidR="003A205B" w:rsidRDefault="003A205B" w:rsidP="003A205B"/>
    <w:p w:rsidR="003A205B" w:rsidRDefault="003A205B" w:rsidP="003A205B">
      <w:r>
        <w:rPr>
          <w:rFonts w:hint="eastAsia"/>
        </w:rPr>
        <w:t>(</w:t>
      </w:r>
      <w:r>
        <w:rPr>
          <w:rFonts w:hint="eastAsia"/>
        </w:rPr>
        <w:t>設置</w:t>
      </w:r>
      <w:r>
        <w:rPr>
          <w:rFonts w:hint="eastAsia"/>
        </w:rPr>
        <w:t>)</w:t>
      </w:r>
    </w:p>
    <w:p w:rsidR="003A205B" w:rsidRDefault="003A205B" w:rsidP="003A205B">
      <w:r>
        <w:rPr>
          <w:rFonts w:hint="eastAsia"/>
        </w:rPr>
        <w:t>第二条　執行機関の附属機関として、別表第一に掲げる附属機関を置く。</w:t>
      </w:r>
    </w:p>
    <w:p w:rsidR="003A205B" w:rsidRDefault="003A205B" w:rsidP="003A205B">
      <w:pPr>
        <w:ind w:left="210" w:hangingChars="100" w:hanging="210"/>
      </w:pPr>
      <w:r>
        <w:rPr>
          <w:rFonts w:hint="eastAsia"/>
        </w:rPr>
        <w:t>２　前項に定めるもののほか、</w:t>
      </w:r>
      <w:r w:rsidRPr="00BA3701">
        <w:rPr>
          <w:rFonts w:hint="eastAsia"/>
        </w:rPr>
        <w:t>公の施設の指定管理者の指定について審査させ、及びその業務の実施状況等に関する評価について調査審議させるため、別表第二の上欄に掲げる執行機関の附属機関として、同表の中欄に掲げる</w:t>
      </w:r>
      <w:r w:rsidRPr="00BA3701">
        <w:rPr>
          <w:rFonts w:hint="eastAsia"/>
          <w:u w:val="single"/>
        </w:rPr>
        <w:t>公の施設についてそれぞれ一の</w:t>
      </w:r>
      <w:r w:rsidRPr="00BA3701">
        <w:rPr>
          <w:rFonts w:hint="eastAsia"/>
        </w:rPr>
        <w:t>指定管理者選定委員会及び</w:t>
      </w:r>
      <w:r w:rsidRPr="00BA3701">
        <w:rPr>
          <w:rFonts w:hint="eastAsia"/>
          <w:u w:val="single"/>
        </w:rPr>
        <w:t>指定管理者評価委員会を置き</w:t>
      </w:r>
      <w:r w:rsidRPr="00BA3701">
        <w:rPr>
          <w:rFonts w:hint="eastAsia"/>
        </w:rPr>
        <w:t>、その名称は、同表の下欄に定める名称を冠するものとする。</w:t>
      </w:r>
    </w:p>
    <w:p w:rsidR="003A205B" w:rsidRDefault="003A205B" w:rsidP="003A205B"/>
    <w:p w:rsidR="003A205B" w:rsidRDefault="003A205B" w:rsidP="003A205B">
      <w:r>
        <w:rPr>
          <w:rFonts w:hint="eastAsia"/>
        </w:rPr>
        <w:t>(</w:t>
      </w:r>
      <w:r>
        <w:rPr>
          <w:rFonts w:hint="eastAsia"/>
        </w:rPr>
        <w:t>報酬</w:t>
      </w:r>
      <w:r>
        <w:rPr>
          <w:rFonts w:hint="eastAsia"/>
        </w:rPr>
        <w:t>)</w:t>
      </w:r>
    </w:p>
    <w:p w:rsidR="003A205B" w:rsidRDefault="003A205B" w:rsidP="003A205B">
      <w:pPr>
        <w:ind w:left="210" w:hangingChars="100" w:hanging="210"/>
      </w:pPr>
      <w:r>
        <w:rPr>
          <w:rFonts w:hint="eastAsia"/>
        </w:rPr>
        <w:t>第三条　委員等の報酬の額は、日額九千八百円を超えない範囲内において、当該附属機関を設置する執行機関が定める額とする。</w:t>
      </w:r>
    </w:p>
    <w:p w:rsidR="003A205B" w:rsidRDefault="003A205B" w:rsidP="003A205B">
      <w:r>
        <w:rPr>
          <w:rFonts w:hint="eastAsia"/>
        </w:rPr>
        <w:t>２　前項の報酬は、出席日数に応じて、その都度支給する。</w:t>
      </w:r>
    </w:p>
    <w:p w:rsidR="003A205B" w:rsidRDefault="003A205B" w:rsidP="003A205B">
      <w:r>
        <w:rPr>
          <w:rFonts w:hint="eastAsia"/>
        </w:rPr>
        <w:t>３　委員等のうち府の経済に属する常勤の職員である者に対しては、報酬を支給しない。</w:t>
      </w:r>
    </w:p>
    <w:p w:rsidR="003A205B" w:rsidRPr="003A205B" w:rsidRDefault="003A205B" w:rsidP="003A205B"/>
    <w:p w:rsidR="003A205B" w:rsidRDefault="003A205B" w:rsidP="003A205B">
      <w:r>
        <w:rPr>
          <w:rFonts w:hint="eastAsia"/>
        </w:rPr>
        <w:t>(</w:t>
      </w:r>
      <w:r>
        <w:rPr>
          <w:rFonts w:hint="eastAsia"/>
        </w:rPr>
        <w:t>費用弁償</w:t>
      </w:r>
      <w:r>
        <w:rPr>
          <w:rFonts w:hint="eastAsia"/>
        </w:rPr>
        <w:t>)</w:t>
      </w:r>
    </w:p>
    <w:p w:rsidR="003A205B" w:rsidRDefault="003A205B" w:rsidP="003A205B">
      <w:pPr>
        <w:ind w:left="210" w:hangingChars="100" w:hanging="210"/>
      </w:pPr>
      <w:r>
        <w:rPr>
          <w:rFonts w:hint="eastAsia"/>
        </w:rPr>
        <w:t>第四条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による指定職等の職務にある者以外の者の額相当額を超えない範囲内において、当該附属機関を設置する執行機関が定める額とする。</w:t>
      </w:r>
    </w:p>
    <w:p w:rsidR="003A205B" w:rsidRDefault="003A205B" w:rsidP="003A205B">
      <w:r>
        <w:rPr>
          <w:rFonts w:hint="eastAsia"/>
        </w:rPr>
        <w:t>２　前項の費用弁償の支給についての路程は、住所地の市町村から起算する。</w:t>
      </w:r>
    </w:p>
    <w:p w:rsidR="003A205B" w:rsidRDefault="003A205B" w:rsidP="003A205B">
      <w:pPr>
        <w:ind w:left="210" w:hangingChars="100" w:hanging="210"/>
      </w:pPr>
      <w:r>
        <w:rPr>
          <w:rFonts w:hint="eastAsia"/>
        </w:rPr>
        <w:t>３　前二項の規定にかかわらず、委員等のうち府の経済に属する常勤の職員である者の費用弁償の額は、その者が当該職員として公務のため旅行した場合に支給される旅費相当額とする。</w:t>
      </w:r>
    </w:p>
    <w:p w:rsidR="003A205B" w:rsidRDefault="003A205B" w:rsidP="003A205B"/>
    <w:p w:rsidR="003A205B" w:rsidRDefault="003A205B" w:rsidP="003A205B">
      <w:r>
        <w:rPr>
          <w:rFonts w:hint="eastAsia"/>
        </w:rPr>
        <w:t>(</w:t>
      </w:r>
      <w:r>
        <w:rPr>
          <w:rFonts w:hint="eastAsia"/>
        </w:rPr>
        <w:t>支給方法</w:t>
      </w:r>
      <w:r>
        <w:rPr>
          <w:rFonts w:hint="eastAsia"/>
        </w:rPr>
        <w:t>)</w:t>
      </w:r>
    </w:p>
    <w:p w:rsidR="003A205B" w:rsidRDefault="003A205B" w:rsidP="003A205B">
      <w:pPr>
        <w:ind w:left="210" w:hangingChars="100" w:hanging="210"/>
      </w:pPr>
      <w:r>
        <w:rPr>
          <w:rFonts w:hint="eastAsia"/>
        </w:rPr>
        <w:t>第五条　委員等の報酬及び費用弁償の支給方法に関し、この条例に定めがない事項については、常勤の職員の例による。</w:t>
      </w:r>
    </w:p>
    <w:p w:rsidR="003A205B" w:rsidRDefault="003A205B" w:rsidP="003A205B"/>
    <w:p w:rsidR="003A205B" w:rsidRDefault="003A205B" w:rsidP="003A205B">
      <w:r>
        <w:rPr>
          <w:rFonts w:hint="eastAsia"/>
        </w:rPr>
        <w:t>(</w:t>
      </w:r>
      <w:r>
        <w:rPr>
          <w:rFonts w:hint="eastAsia"/>
        </w:rPr>
        <w:t>委任</w:t>
      </w:r>
      <w:r>
        <w:rPr>
          <w:rFonts w:hint="eastAsia"/>
        </w:rPr>
        <w:t>)</w:t>
      </w:r>
    </w:p>
    <w:p w:rsidR="003A205B" w:rsidRDefault="003A205B" w:rsidP="003A205B">
      <w:pPr>
        <w:ind w:left="210" w:hangingChars="100" w:hanging="210"/>
      </w:pPr>
      <w:r>
        <w:rPr>
          <w:rFonts w:hint="eastAsia"/>
        </w:rPr>
        <w:t>第六条　この条例に定めるもののほか、府が設置する執行機関の附属機関の組織、委員等の報酬及び費用弁償の額その他附属機関に関し必要な事項は、当該執行機関が定める。</w:t>
      </w:r>
    </w:p>
    <w:p w:rsidR="003A205B" w:rsidRDefault="003A205B" w:rsidP="003A205B"/>
    <w:p w:rsidR="003A205B" w:rsidRDefault="003A205B" w:rsidP="003A205B">
      <w:r>
        <w:rPr>
          <w:rFonts w:hint="eastAsia"/>
        </w:rPr>
        <w:t>附　則</w:t>
      </w:r>
    </w:p>
    <w:p w:rsidR="00894AE8" w:rsidRDefault="003A205B" w:rsidP="003A205B">
      <w:r>
        <w:rPr>
          <w:rFonts w:hint="eastAsia"/>
        </w:rPr>
        <w:t>1</w:t>
      </w:r>
      <w:r>
        <w:rPr>
          <w:rFonts w:hint="eastAsia"/>
        </w:rPr>
        <w:t xml:space="preserve">　この条例は、公布の日から施行する。</w:t>
      </w:r>
    </w:p>
    <w:p w:rsidR="003A205B" w:rsidRDefault="003A205B" w:rsidP="003A205B">
      <w:r>
        <w:rPr>
          <w:rFonts w:hint="eastAsia"/>
        </w:rPr>
        <w:t>（以下、略）</w:t>
      </w:r>
    </w:p>
    <w:p w:rsidR="008D686E" w:rsidRDefault="008D686E" w:rsidP="003A205B"/>
    <w:p w:rsidR="008D686E" w:rsidRPr="008D686E" w:rsidRDefault="008D686E" w:rsidP="008D686E">
      <w:r w:rsidRPr="008D686E">
        <w:rPr>
          <w:rFonts w:hint="eastAsia"/>
        </w:rPr>
        <w:lastRenderedPageBreak/>
        <w:t>別表第二</w:t>
      </w:r>
      <w:r>
        <w:rPr>
          <w:rFonts w:hint="eastAsia"/>
        </w:rPr>
        <w:t>（</w:t>
      </w:r>
      <w:r w:rsidRPr="008D686E">
        <w:rPr>
          <w:rFonts w:hint="eastAsia"/>
        </w:rPr>
        <w:t>第二条関係</w:t>
      </w:r>
      <w:r>
        <w:rPr>
          <w:rFonts w:hint="eastAsia"/>
        </w:rPr>
        <w:t>）</w:t>
      </w:r>
    </w:p>
    <w:tbl>
      <w:tblPr>
        <w:tblW w:w="4953" w:type="pct"/>
        <w:tblInd w:w="45" w:type="dxa"/>
        <w:tblCellMar>
          <w:top w:w="15" w:type="dxa"/>
          <w:left w:w="15" w:type="dxa"/>
          <w:bottom w:w="15" w:type="dxa"/>
          <w:right w:w="15" w:type="dxa"/>
        </w:tblCellMar>
        <w:tblLook w:val="04A0" w:firstRow="1" w:lastRow="0" w:firstColumn="1" w:lastColumn="0" w:noHBand="0" w:noVBand="1"/>
      </w:tblPr>
      <w:tblGrid>
        <w:gridCol w:w="1614"/>
        <w:gridCol w:w="3989"/>
        <w:gridCol w:w="3894"/>
      </w:tblGrid>
      <w:tr w:rsidR="008D686E" w:rsidRPr="008D686E" w:rsidTr="008D686E">
        <w:tc>
          <w:tcPr>
            <w:tcW w:w="8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執行機関</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公の施設</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名称</w:t>
            </w:r>
          </w:p>
        </w:tc>
      </w:tr>
      <w:tr w:rsidR="008D686E" w:rsidRPr="008D686E" w:rsidTr="008D686E">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知事</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大阪府立青少年海洋センター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大阪府立青少年海洋センター</w:t>
            </w:r>
          </w:p>
        </w:tc>
      </w:tr>
      <w:tr w:rsidR="008D686E" w:rsidRPr="008D686E" w:rsidTr="00AD0906">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shd w:val="clear" w:color="auto" w:fill="D9D9D9" w:themeFill="background1" w:themeFillShade="D9"/>
            <w:tcMar>
              <w:top w:w="45" w:type="dxa"/>
              <w:left w:w="45" w:type="dxa"/>
              <w:bottom w:w="45" w:type="dxa"/>
              <w:right w:w="45" w:type="dxa"/>
            </w:tcMar>
            <w:hideMark/>
          </w:tcPr>
          <w:p w:rsidR="000C2E47" w:rsidRPr="008D686E" w:rsidRDefault="008D686E" w:rsidP="008D686E">
            <w:r w:rsidRPr="008D686E">
              <w:rPr>
                <w:rFonts w:hint="eastAsia"/>
              </w:rPr>
              <w:t>大阪府立万国博覧会記念公園</w:t>
            </w:r>
          </w:p>
        </w:tc>
        <w:tc>
          <w:tcPr>
            <w:tcW w:w="2050" w:type="pct"/>
            <w:tcBorders>
              <w:top w:val="single" w:sz="2" w:space="0" w:color="000000"/>
              <w:left w:val="single" w:sz="2" w:space="0" w:color="000000"/>
              <w:bottom w:val="single" w:sz="12" w:space="0" w:color="000000"/>
              <w:right w:val="single" w:sz="2" w:space="0" w:color="000000"/>
            </w:tcBorders>
            <w:shd w:val="clear" w:color="auto" w:fill="D9D9D9" w:themeFill="background1" w:themeFillShade="D9"/>
            <w:tcMar>
              <w:top w:w="45" w:type="dxa"/>
              <w:left w:w="45" w:type="dxa"/>
              <w:bottom w:w="45" w:type="dxa"/>
              <w:right w:w="45" w:type="dxa"/>
            </w:tcMar>
            <w:hideMark/>
          </w:tcPr>
          <w:p w:rsidR="000C2E47" w:rsidRPr="008D686E" w:rsidRDefault="008D686E" w:rsidP="008D686E">
            <w:r w:rsidRPr="008D686E">
              <w:rPr>
                <w:rFonts w:hint="eastAsia"/>
              </w:rPr>
              <w:t>大阪府立万国博覧会記念公園</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大阪府立男女共同参画・青少年センター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大阪府立男女共同参画・青少年センター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大阪府立江之子島文化芸術創造センター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大阪府立江之子島文化芸術創造センター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大阪府立国際会議場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大阪府立国際会議場</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大阪府立障害者交流促進センター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大阪府立障害者交流促進センター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C6A">
            <w:r w:rsidRPr="008D686E">
              <w:rPr>
                <w:rFonts w:hint="eastAsia"/>
              </w:rPr>
              <w:t>大阪府立</w:t>
            </w:r>
            <w:r w:rsidR="008D6C6A">
              <w:rPr>
                <w:rFonts w:hint="eastAsia"/>
              </w:rPr>
              <w:t>こんごう福祉センター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w:t>
            </w:r>
            <w:r w:rsidR="008D6C6A">
              <w:rPr>
                <w:rFonts w:hint="eastAsia"/>
              </w:rPr>
              <w:t>こんごう福祉センター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大阪府立稲スポーツセンター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大阪府立稲スポーツセンター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大阪府立大型児童</w:t>
            </w:r>
            <w:bookmarkStart w:id="0" w:name="_GoBack"/>
            <w:bookmarkEnd w:id="0"/>
            <w:r w:rsidRPr="008D686E">
              <w:rPr>
                <w:rFonts w:hint="eastAsia"/>
              </w:rPr>
              <w:t>館ビッグバン</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大阪府立大型児童館ビッグバン</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大阪府立あゆみ寮、大阪府立のぞみ寮</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大阪府立あゆみ寮等</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大阪府立中河内救命救急センター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大阪府立中河内救命救急センター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大阪府立労働センター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大阪府立労働センター</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大阪府立夕陽丘高等職業技術専門校</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大阪府立高等職業技術専門校</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大阪府立金剛登山道駐車場、大阪府民の森</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大阪府民の森等</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大阪府立花の文化園</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大阪府立花の文化園</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大阪府中央卸売市場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大阪府中央卸売市場</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大阪府江坂立体駐車場、大阪府新石切立体駐車場、大阪府茨木地下駐車場</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大阪府駐車場</w:t>
            </w:r>
          </w:p>
        </w:tc>
      </w:tr>
      <w:tr w:rsidR="008D686E" w:rsidRPr="008D686E" w:rsidTr="00AD0906">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shd w:val="clear" w:color="auto" w:fill="FFFFFF" w:themeFill="background1"/>
            <w:tcMar>
              <w:top w:w="45" w:type="dxa"/>
              <w:left w:w="45" w:type="dxa"/>
              <w:bottom w:w="45" w:type="dxa"/>
              <w:right w:w="45" w:type="dxa"/>
            </w:tcMar>
            <w:hideMark/>
          </w:tcPr>
          <w:p w:rsidR="000C2E47" w:rsidRPr="008D686E" w:rsidRDefault="008D686E" w:rsidP="008D686E">
            <w:r w:rsidRPr="008D686E">
              <w:rPr>
                <w:rFonts w:hint="eastAsia"/>
              </w:rPr>
              <w:t>都市公園</w:t>
            </w:r>
            <w:r>
              <w:rPr>
                <w:rFonts w:hint="eastAsia"/>
              </w:rPr>
              <w:t>（</w:t>
            </w:r>
            <w:r w:rsidRPr="008D686E">
              <w:rPr>
                <w:rFonts w:hint="eastAsia"/>
              </w:rPr>
              <w:t>府が設置するものに限る。</w:t>
            </w:r>
            <w:r>
              <w:rPr>
                <w:rFonts w:hint="eastAsia"/>
              </w:rPr>
              <w:t>）</w:t>
            </w:r>
          </w:p>
        </w:tc>
        <w:tc>
          <w:tcPr>
            <w:tcW w:w="2050" w:type="pct"/>
            <w:tcBorders>
              <w:top w:val="single" w:sz="2" w:space="0" w:color="000000"/>
              <w:left w:val="single" w:sz="2" w:space="0" w:color="000000"/>
              <w:bottom w:val="single" w:sz="12" w:space="0" w:color="000000"/>
              <w:right w:val="single" w:sz="2" w:space="0" w:color="000000"/>
            </w:tcBorders>
            <w:shd w:val="clear" w:color="auto" w:fill="FFFFFF" w:themeFill="background1"/>
            <w:tcMar>
              <w:top w:w="45" w:type="dxa"/>
              <w:left w:w="45" w:type="dxa"/>
              <w:bottom w:w="45" w:type="dxa"/>
              <w:right w:w="45" w:type="dxa"/>
            </w:tcMar>
            <w:hideMark/>
          </w:tcPr>
          <w:p w:rsidR="000C2E47" w:rsidRPr="008D686E" w:rsidRDefault="008D686E" w:rsidP="008D686E">
            <w:r w:rsidRPr="008D686E">
              <w:rPr>
                <w:rFonts w:hint="eastAsia"/>
              </w:rPr>
              <w:t>大阪府都市公園</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堺泉北港</w:t>
            </w:r>
            <w:r w:rsidRPr="008D686E">
              <w:rPr>
                <w:rFonts w:hint="eastAsia"/>
              </w:rPr>
              <w:t>(</w:t>
            </w:r>
            <w:r w:rsidRPr="008D686E">
              <w:rPr>
                <w:rFonts w:hint="eastAsia"/>
              </w:rPr>
              <w:t>緑地に限る。</w:t>
            </w:r>
            <w:r w:rsidRPr="008D686E">
              <w:rPr>
                <w:rFonts w:hint="eastAsia"/>
              </w:rPr>
              <w:t>)</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大阪府堺泉北港の緑地</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大阪府営住宅</w:t>
            </w:r>
            <w:r w:rsidRPr="008D686E">
              <w:rPr>
                <w:rFonts w:hint="eastAsia"/>
              </w:rPr>
              <w:t>(</w:t>
            </w:r>
            <w:r w:rsidRPr="008D686E">
              <w:rPr>
                <w:rFonts w:hint="eastAsia"/>
              </w:rPr>
              <w:t>共同施設を含む。</w:t>
            </w:r>
            <w:r w:rsidRPr="008D686E">
              <w:rPr>
                <w:rFonts w:hint="eastAsia"/>
              </w:rPr>
              <w:t>)</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大阪府営住宅</w:t>
            </w:r>
          </w:p>
        </w:tc>
      </w:tr>
      <w:tr w:rsidR="008D686E" w:rsidRPr="008D686E" w:rsidTr="008D686E">
        <w:tc>
          <w:tcPr>
            <w:tcW w:w="850" w:type="pct"/>
            <w:vMerge w:val="restar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教育委員会</w:t>
            </w:r>
          </w:p>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大阪府立漕艇センター、大阪府立臨海スポーツセンター、大阪府立体育会館、大阪府立門真スポーツセンター</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大阪府立体育会館等</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大阪府立図書館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大阪府立図書館</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大阪府立少年自然の家</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大阪府立少年自然の家</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大阪府立近つ飛鳥風土記の丘、大阪府立近つ飛鳥博物館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大阪府立近つ飛鳥博物館等</w:t>
            </w:r>
          </w:p>
        </w:tc>
      </w:tr>
      <w:tr w:rsidR="008D686E" w:rsidRPr="008D686E" w:rsidTr="008D686E">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8D686E" w:rsidRPr="008D686E" w:rsidRDefault="008D686E" w:rsidP="008D686E"/>
        </w:tc>
        <w:tc>
          <w:tcPr>
            <w:tcW w:w="210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大阪府立弥生文化博物館</w:t>
            </w:r>
          </w:p>
        </w:tc>
        <w:tc>
          <w:tcPr>
            <w:tcW w:w="2050" w:type="pct"/>
            <w:tcBorders>
              <w:top w:val="single" w:sz="2" w:space="0" w:color="000000"/>
              <w:left w:val="single" w:sz="2" w:space="0" w:color="000000"/>
              <w:bottom w:val="single" w:sz="12" w:space="0" w:color="000000"/>
              <w:right w:val="single" w:sz="2" w:space="0" w:color="000000"/>
            </w:tcBorders>
            <w:tcMar>
              <w:top w:w="45" w:type="dxa"/>
              <w:left w:w="45" w:type="dxa"/>
              <w:bottom w:w="45" w:type="dxa"/>
              <w:right w:w="45" w:type="dxa"/>
            </w:tcMar>
            <w:hideMark/>
          </w:tcPr>
          <w:p w:rsidR="000C2E47" w:rsidRPr="008D686E" w:rsidRDefault="008D686E" w:rsidP="008D686E">
            <w:r w:rsidRPr="008D686E">
              <w:rPr>
                <w:rFonts w:hint="eastAsia"/>
              </w:rPr>
              <w:t>大阪府立弥生文化博物館</w:t>
            </w:r>
          </w:p>
        </w:tc>
      </w:tr>
    </w:tbl>
    <w:p w:rsidR="008D686E" w:rsidRPr="008D686E" w:rsidRDefault="008D686E" w:rsidP="003A205B"/>
    <w:sectPr w:rsidR="008D686E" w:rsidRPr="008D686E" w:rsidSect="003A205B">
      <w:pgSz w:w="11906" w:h="16838"/>
      <w:pgMar w:top="568" w:right="1133" w:bottom="426"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5B"/>
    <w:rsid w:val="000C2E47"/>
    <w:rsid w:val="00367888"/>
    <w:rsid w:val="00390DF4"/>
    <w:rsid w:val="003A205B"/>
    <w:rsid w:val="00894AE8"/>
    <w:rsid w:val="008D686E"/>
    <w:rsid w:val="008D6C6A"/>
    <w:rsid w:val="00AD0906"/>
    <w:rsid w:val="00BA3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08795">
      <w:bodyDiv w:val="1"/>
      <w:marLeft w:val="0"/>
      <w:marRight w:val="0"/>
      <w:marTop w:val="0"/>
      <w:marBottom w:val="0"/>
      <w:divBdr>
        <w:top w:val="none" w:sz="0" w:space="0" w:color="auto"/>
        <w:left w:val="none" w:sz="0" w:space="0" w:color="auto"/>
        <w:bottom w:val="none" w:sz="0" w:space="0" w:color="auto"/>
        <w:right w:val="none" w:sz="0" w:space="0" w:color="auto"/>
      </w:divBdr>
      <w:divsChild>
        <w:div w:id="1939363611">
          <w:marLeft w:val="0"/>
          <w:marRight w:val="0"/>
          <w:marTop w:val="0"/>
          <w:marBottom w:val="0"/>
          <w:divBdr>
            <w:top w:val="none" w:sz="0" w:space="0" w:color="auto"/>
            <w:left w:val="none" w:sz="0" w:space="0" w:color="auto"/>
            <w:bottom w:val="none" w:sz="0" w:space="0" w:color="auto"/>
            <w:right w:val="none" w:sz="0" w:space="0" w:color="auto"/>
          </w:divBdr>
          <w:divsChild>
            <w:div w:id="14882845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2647776">
                  <w:marLeft w:val="-4275"/>
                  <w:marRight w:val="0"/>
                  <w:marTop w:val="0"/>
                  <w:marBottom w:val="0"/>
                  <w:divBdr>
                    <w:top w:val="none" w:sz="0" w:space="0" w:color="auto"/>
                    <w:left w:val="none" w:sz="0" w:space="0" w:color="auto"/>
                    <w:bottom w:val="none" w:sz="0" w:space="0" w:color="auto"/>
                    <w:right w:val="none" w:sz="0" w:space="0" w:color="auto"/>
                  </w:divBdr>
                  <w:divsChild>
                    <w:div w:id="11764581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36316134">
                          <w:marLeft w:val="0"/>
                          <w:marRight w:val="0"/>
                          <w:marTop w:val="0"/>
                          <w:marBottom w:val="0"/>
                          <w:divBdr>
                            <w:top w:val="none" w:sz="0" w:space="0" w:color="auto"/>
                            <w:left w:val="none" w:sz="0" w:space="0" w:color="auto"/>
                            <w:bottom w:val="none" w:sz="0" w:space="0" w:color="auto"/>
                            <w:right w:val="none" w:sz="0" w:space="0" w:color="auto"/>
                          </w:divBdr>
                          <w:divsChild>
                            <w:div w:id="2026785215">
                              <w:marLeft w:val="0"/>
                              <w:marRight w:val="0"/>
                              <w:marTop w:val="0"/>
                              <w:marBottom w:val="0"/>
                              <w:divBdr>
                                <w:top w:val="none" w:sz="0" w:space="0" w:color="auto"/>
                                <w:left w:val="none" w:sz="0" w:space="0" w:color="auto"/>
                                <w:bottom w:val="none" w:sz="0" w:space="0" w:color="auto"/>
                                <w:right w:val="none" w:sz="0" w:space="0" w:color="auto"/>
                              </w:divBdr>
                              <w:divsChild>
                                <w:div w:id="1663578602">
                                  <w:marLeft w:val="0"/>
                                  <w:marRight w:val="0"/>
                                  <w:marTop w:val="0"/>
                                  <w:marBottom w:val="0"/>
                                  <w:divBdr>
                                    <w:top w:val="none" w:sz="0" w:space="0" w:color="auto"/>
                                    <w:left w:val="none" w:sz="0" w:space="0" w:color="auto"/>
                                    <w:bottom w:val="none" w:sz="0" w:space="0" w:color="auto"/>
                                    <w:right w:val="none" w:sz="0" w:space="0" w:color="auto"/>
                                  </w:divBdr>
                                  <w:divsChild>
                                    <w:div w:id="8716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3218">
                              <w:marLeft w:val="0"/>
                              <w:marRight w:val="0"/>
                              <w:marTop w:val="0"/>
                              <w:marBottom w:val="0"/>
                              <w:divBdr>
                                <w:top w:val="none" w:sz="0" w:space="0" w:color="auto"/>
                                <w:left w:val="none" w:sz="0" w:space="0" w:color="auto"/>
                                <w:bottom w:val="none" w:sz="0" w:space="0" w:color="auto"/>
                                <w:right w:val="none" w:sz="0" w:space="0" w:color="auto"/>
                              </w:divBdr>
                              <w:divsChild>
                                <w:div w:id="848330281">
                                  <w:marLeft w:val="0"/>
                                  <w:marRight w:val="0"/>
                                  <w:marTop w:val="0"/>
                                  <w:marBottom w:val="0"/>
                                  <w:divBdr>
                                    <w:top w:val="none" w:sz="0" w:space="0" w:color="auto"/>
                                    <w:left w:val="none" w:sz="0" w:space="0" w:color="auto"/>
                                    <w:bottom w:val="none" w:sz="0" w:space="0" w:color="auto"/>
                                    <w:right w:val="none" w:sz="0" w:space="0" w:color="auto"/>
                                  </w:divBdr>
                                </w:div>
                              </w:divsChild>
                            </w:div>
                            <w:div w:id="487719802">
                              <w:marLeft w:val="0"/>
                              <w:marRight w:val="0"/>
                              <w:marTop w:val="0"/>
                              <w:marBottom w:val="0"/>
                              <w:divBdr>
                                <w:top w:val="none" w:sz="0" w:space="0" w:color="auto"/>
                                <w:left w:val="none" w:sz="0" w:space="0" w:color="auto"/>
                                <w:bottom w:val="none" w:sz="0" w:space="0" w:color="auto"/>
                                <w:right w:val="none" w:sz="0" w:space="0" w:color="auto"/>
                              </w:divBdr>
                              <w:divsChild>
                                <w:div w:id="1048338730">
                                  <w:marLeft w:val="0"/>
                                  <w:marRight w:val="0"/>
                                  <w:marTop w:val="0"/>
                                  <w:marBottom w:val="0"/>
                                  <w:divBdr>
                                    <w:top w:val="none" w:sz="0" w:space="0" w:color="auto"/>
                                    <w:left w:val="none" w:sz="0" w:space="0" w:color="auto"/>
                                    <w:bottom w:val="none" w:sz="0" w:space="0" w:color="auto"/>
                                    <w:right w:val="none" w:sz="0" w:space="0" w:color="auto"/>
                                  </w:divBdr>
                                  <w:divsChild>
                                    <w:div w:id="1039090764">
                                      <w:marLeft w:val="0"/>
                                      <w:marRight w:val="0"/>
                                      <w:marTop w:val="90"/>
                                      <w:marBottom w:val="90"/>
                                      <w:divBdr>
                                        <w:top w:val="none" w:sz="0" w:space="0" w:color="auto"/>
                                        <w:left w:val="none" w:sz="0" w:space="0" w:color="auto"/>
                                        <w:bottom w:val="none" w:sz="0" w:space="0" w:color="auto"/>
                                        <w:right w:val="none" w:sz="0" w:space="0" w:color="auto"/>
                                      </w:divBdr>
                                      <w:divsChild>
                                        <w:div w:id="4113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61369-3A04-472C-B8FD-15E1F0CC7D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D0477B-DFD7-4E91-B9B1-5D9EA28AAEA3}">
  <ds:schemaRefs>
    <ds:schemaRef ds:uri="http://schemas.microsoft.com/sharepoint/v3/contenttype/forms"/>
  </ds:schemaRefs>
</ds:datastoreItem>
</file>

<file path=customXml/itemProps3.xml><?xml version="1.0" encoding="utf-8"?>
<ds:datastoreItem xmlns:ds="http://schemas.openxmlformats.org/officeDocument/2006/customXml" ds:itemID="{AFD3CA84-2E58-4A5B-AE24-01AABEF8B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2017-05-26T13:45:00Z</cp:lastPrinted>
  <dcterms:created xsi:type="dcterms:W3CDTF">2017-05-24T13:18:00Z</dcterms:created>
  <dcterms:modified xsi:type="dcterms:W3CDTF">2018-10-24T05:19:00Z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